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57" w:rsidRPr="00774285" w:rsidRDefault="004053AE" w:rsidP="004563C8">
      <w:pPr>
        <w:jc w:val="center"/>
        <w:rPr>
          <w:sz w:val="36"/>
          <w:szCs w:val="36"/>
        </w:rPr>
      </w:pPr>
      <w:r>
        <w:rPr>
          <w:sz w:val="36"/>
          <w:szCs w:val="36"/>
        </w:rPr>
        <w:t>2017</w:t>
      </w:r>
      <w:r w:rsidR="00190638">
        <w:rPr>
          <w:rFonts w:hint="eastAsia"/>
          <w:sz w:val="36"/>
          <w:szCs w:val="36"/>
        </w:rPr>
        <w:t>厦门</w:t>
      </w:r>
      <w:r w:rsidR="00CB3657">
        <w:rPr>
          <w:rFonts w:hint="eastAsia"/>
          <w:sz w:val="36"/>
          <w:szCs w:val="36"/>
        </w:rPr>
        <w:t>大学</w:t>
      </w:r>
      <w:r w:rsidR="00CB3657" w:rsidRPr="00774285">
        <w:rPr>
          <w:rFonts w:hint="eastAsia"/>
          <w:sz w:val="36"/>
          <w:szCs w:val="36"/>
        </w:rPr>
        <w:t>数学拔尖学生联合暑期学校</w:t>
      </w:r>
    </w:p>
    <w:p w:rsidR="00CB3657" w:rsidRDefault="00CB3657" w:rsidP="004563C8">
      <w:pPr>
        <w:jc w:val="center"/>
        <w:rPr>
          <w:sz w:val="36"/>
          <w:szCs w:val="36"/>
        </w:rPr>
      </w:pPr>
    </w:p>
    <w:p w:rsidR="00190638" w:rsidRDefault="00190638" w:rsidP="00190638">
      <w:pPr>
        <w:numPr>
          <w:ilvl w:val="0"/>
          <w:numId w:val="12"/>
        </w:numPr>
        <w:spacing w:line="360" w:lineRule="auto"/>
        <w:rPr>
          <w:b/>
          <w:sz w:val="24"/>
        </w:rPr>
      </w:pPr>
      <w:r>
        <w:rPr>
          <w:rFonts w:hint="eastAsia"/>
          <w:b/>
          <w:sz w:val="24"/>
        </w:rPr>
        <w:t>简介</w:t>
      </w:r>
    </w:p>
    <w:p w:rsidR="00190638" w:rsidRDefault="00190638" w:rsidP="00190638">
      <w:pPr>
        <w:spacing w:line="360" w:lineRule="auto"/>
        <w:ind w:left="510"/>
        <w:rPr>
          <w:b/>
          <w:sz w:val="24"/>
        </w:rPr>
      </w:pPr>
      <w:r>
        <w:rPr>
          <w:rFonts w:ascii="宋体" w:hAnsi="宋体" w:hint="eastAsia"/>
        </w:rPr>
        <w:t>我校数学拔尖计划</w:t>
      </w:r>
      <w:r w:rsidR="00DD7E25">
        <w:rPr>
          <w:rFonts w:ascii="宋体" w:hAnsi="宋体" w:hint="eastAsia"/>
        </w:rPr>
        <w:t>联合</w:t>
      </w:r>
      <w:r w:rsidRPr="004D19CB">
        <w:rPr>
          <w:rFonts w:ascii="宋体" w:hAnsi="宋体" w:hint="eastAsia"/>
        </w:rPr>
        <w:t>暑期学校坚持数学高层次基础知识的教学与最前沿数学动态了解相互结合的办学宗旨</w:t>
      </w:r>
      <w:r>
        <w:rPr>
          <w:rFonts w:ascii="宋体" w:hAnsi="宋体" w:hint="eastAsia"/>
        </w:rPr>
        <w:t>；</w:t>
      </w:r>
      <w:r w:rsidR="00D53F60">
        <w:rPr>
          <w:rFonts w:ascii="宋体" w:hAnsi="宋体" w:hint="eastAsia"/>
        </w:rPr>
        <w:t>2坚持专家讲授和助教辅导相结合的教学模式。2</w:t>
      </w:r>
      <w:r w:rsidR="00D53F60">
        <w:rPr>
          <w:rFonts w:ascii="宋体" w:hAnsi="宋体"/>
        </w:rPr>
        <w:t>017</w:t>
      </w:r>
      <w:r w:rsidR="00D53F60">
        <w:rPr>
          <w:rFonts w:ascii="宋体" w:hAnsi="宋体" w:hint="eastAsia"/>
        </w:rPr>
        <w:t>年</w:t>
      </w:r>
      <w:r w:rsidR="00D53F60">
        <w:rPr>
          <w:rFonts w:ascii="宋体" w:hAnsi="宋体"/>
        </w:rPr>
        <w:t>将</w:t>
      </w:r>
      <w:r>
        <w:rPr>
          <w:rFonts w:ascii="宋体" w:hAnsi="宋体" w:hint="eastAsia"/>
        </w:rPr>
        <w:t>分别在</w:t>
      </w:r>
      <w:r w:rsidR="00DB35F7">
        <w:rPr>
          <w:rFonts w:ascii="宋体" w:hAnsi="宋体" w:hint="eastAsia"/>
        </w:rPr>
        <w:t>代数</w:t>
      </w:r>
      <w:r w:rsidR="00DB35F7">
        <w:rPr>
          <w:rFonts w:ascii="宋体" w:hAnsi="宋体"/>
        </w:rPr>
        <w:t>、拓扑、方程和</w:t>
      </w:r>
      <w:r w:rsidR="00DB35F7">
        <w:rPr>
          <w:rFonts w:ascii="宋体" w:hAnsi="宋体" w:hint="eastAsia"/>
        </w:rPr>
        <w:t>计算四</w:t>
      </w:r>
      <w:r>
        <w:rPr>
          <w:rFonts w:ascii="宋体" w:hAnsi="宋体" w:hint="eastAsia"/>
        </w:rPr>
        <w:t>大领域安排</w:t>
      </w:r>
      <w:r w:rsidR="00DB35F7">
        <w:rPr>
          <w:rFonts w:ascii="宋体" w:hAnsi="宋体"/>
        </w:rPr>
        <w:t>4</w:t>
      </w:r>
      <w:r>
        <w:rPr>
          <w:rFonts w:ascii="宋体" w:hAnsi="宋体" w:hint="eastAsia"/>
        </w:rPr>
        <w:t>个短课程。每个课程上6次课，每次3课时，另加1次考核。每门课程计1学分。</w:t>
      </w:r>
      <w:r w:rsidR="00DD7E25">
        <w:rPr>
          <w:rFonts w:ascii="宋体" w:hAnsi="宋体" w:hint="eastAsia"/>
        </w:rPr>
        <w:t>成绩合格，将由学校教务处发正式证书。另、</w:t>
      </w:r>
      <w:r>
        <w:rPr>
          <w:rFonts w:ascii="宋体" w:hAnsi="宋体" w:hint="eastAsia"/>
        </w:rPr>
        <w:t>邀请国内外著名专家，参照学院“景润数学”讲座标准，穿插安排讲座</w:t>
      </w:r>
      <w:r w:rsidR="00DB35F7">
        <w:rPr>
          <w:rFonts w:ascii="宋体" w:hAnsi="宋体"/>
        </w:rPr>
        <w:t>4</w:t>
      </w:r>
      <w:r>
        <w:rPr>
          <w:rFonts w:ascii="宋体" w:hAnsi="宋体" w:hint="eastAsia"/>
        </w:rPr>
        <w:t>场左右。</w:t>
      </w:r>
    </w:p>
    <w:p w:rsidR="00E74C64" w:rsidRPr="00E74C64" w:rsidRDefault="00CB3657" w:rsidP="00190638">
      <w:pPr>
        <w:numPr>
          <w:ilvl w:val="0"/>
          <w:numId w:val="12"/>
        </w:numPr>
        <w:spacing w:line="360" w:lineRule="auto"/>
        <w:rPr>
          <w:rFonts w:ascii="宋体" w:hAnsi="宋体"/>
        </w:rPr>
      </w:pPr>
      <w:r w:rsidRPr="003D75DF">
        <w:rPr>
          <w:rFonts w:hint="eastAsia"/>
          <w:b/>
          <w:sz w:val="24"/>
        </w:rPr>
        <w:t>时间</w:t>
      </w:r>
    </w:p>
    <w:p w:rsidR="00CB3657" w:rsidRPr="00003AE4" w:rsidRDefault="00CB3657" w:rsidP="00E74C64">
      <w:pPr>
        <w:spacing w:line="360" w:lineRule="auto"/>
        <w:ind w:left="510"/>
        <w:rPr>
          <w:rFonts w:ascii="宋体" w:hAnsi="宋体"/>
        </w:rPr>
      </w:pPr>
      <w:r w:rsidRPr="00003AE4">
        <w:rPr>
          <w:rFonts w:ascii="宋体" w:hAnsi="宋体"/>
        </w:rPr>
        <w:t>7</w:t>
      </w:r>
      <w:r w:rsidRPr="00003AE4">
        <w:rPr>
          <w:rFonts w:ascii="宋体" w:hAnsi="宋体" w:hint="eastAsia"/>
        </w:rPr>
        <w:t>月</w:t>
      </w:r>
      <w:r w:rsidR="004C4622">
        <w:rPr>
          <w:rFonts w:ascii="宋体" w:hAnsi="宋体"/>
        </w:rPr>
        <w:t>2</w:t>
      </w:r>
      <w:r w:rsidRPr="00003AE4">
        <w:rPr>
          <w:rFonts w:ascii="宋体" w:hAnsi="宋体" w:hint="eastAsia"/>
        </w:rPr>
        <w:t>日</w:t>
      </w:r>
      <w:r w:rsidR="004C4622">
        <w:rPr>
          <w:rFonts w:ascii="宋体" w:hAnsi="宋体" w:hint="eastAsia"/>
        </w:rPr>
        <w:t>（星期</w:t>
      </w:r>
      <w:r w:rsidR="004C4622">
        <w:rPr>
          <w:rFonts w:ascii="宋体" w:hAnsi="宋体"/>
        </w:rPr>
        <w:t>天</w:t>
      </w:r>
      <w:r w:rsidR="004C4622">
        <w:rPr>
          <w:rFonts w:ascii="宋体" w:hAnsi="宋体" w:hint="eastAsia"/>
        </w:rPr>
        <w:t>）</w:t>
      </w:r>
      <w:r w:rsidRPr="00003AE4">
        <w:rPr>
          <w:rFonts w:ascii="宋体" w:hAnsi="宋体" w:hint="eastAsia"/>
        </w:rPr>
        <w:t>报到</w:t>
      </w:r>
      <w:r w:rsidR="001A2D6B">
        <w:rPr>
          <w:rFonts w:ascii="宋体" w:hAnsi="宋体" w:hint="eastAsia"/>
        </w:rPr>
        <w:t>，报到地点待定。暑期学校从</w:t>
      </w:r>
      <w:r w:rsidRPr="00003AE4">
        <w:rPr>
          <w:rFonts w:ascii="宋体" w:hAnsi="宋体"/>
        </w:rPr>
        <w:t>7</w:t>
      </w:r>
      <w:r w:rsidRPr="00003AE4">
        <w:rPr>
          <w:rFonts w:ascii="宋体" w:hAnsi="宋体" w:hint="eastAsia"/>
        </w:rPr>
        <w:t>月</w:t>
      </w:r>
      <w:r w:rsidR="004C4622">
        <w:rPr>
          <w:rFonts w:ascii="宋体" w:hAnsi="宋体"/>
        </w:rPr>
        <w:t>3</w:t>
      </w:r>
      <w:r w:rsidRPr="00003AE4">
        <w:rPr>
          <w:rFonts w:ascii="宋体" w:hAnsi="宋体" w:hint="eastAsia"/>
        </w:rPr>
        <w:t>日</w:t>
      </w:r>
      <w:r w:rsidR="001A2D6B">
        <w:rPr>
          <w:rFonts w:ascii="宋体" w:hAnsi="宋体" w:hint="eastAsia"/>
        </w:rPr>
        <w:t>开始上课，</w:t>
      </w:r>
      <w:r w:rsidRPr="00003AE4">
        <w:rPr>
          <w:rFonts w:ascii="宋体" w:hAnsi="宋体"/>
        </w:rPr>
        <w:t>7</w:t>
      </w:r>
      <w:r w:rsidRPr="00003AE4">
        <w:rPr>
          <w:rFonts w:ascii="宋体" w:hAnsi="宋体" w:hint="eastAsia"/>
        </w:rPr>
        <w:t>月</w:t>
      </w:r>
      <w:r w:rsidR="00C8683D">
        <w:rPr>
          <w:rFonts w:ascii="宋体" w:hAnsi="宋体" w:hint="eastAsia"/>
        </w:rPr>
        <w:t>2</w:t>
      </w:r>
      <w:r w:rsidR="004C4622">
        <w:rPr>
          <w:rFonts w:ascii="宋体" w:hAnsi="宋体"/>
        </w:rPr>
        <w:t>8</w:t>
      </w:r>
      <w:r w:rsidRPr="00003AE4">
        <w:rPr>
          <w:rFonts w:ascii="宋体" w:hAnsi="宋体" w:hint="eastAsia"/>
        </w:rPr>
        <w:t>日</w:t>
      </w:r>
      <w:r w:rsidR="001A2D6B">
        <w:rPr>
          <w:rFonts w:ascii="宋体" w:hAnsi="宋体" w:hint="eastAsia"/>
        </w:rPr>
        <w:t>截止</w:t>
      </w:r>
      <w:r w:rsidR="00003AE4" w:rsidRPr="00003AE4">
        <w:rPr>
          <w:rFonts w:ascii="宋体" w:hAnsi="宋体" w:hint="eastAsia"/>
        </w:rPr>
        <w:t>。</w:t>
      </w:r>
    </w:p>
    <w:p w:rsidR="00190638" w:rsidRPr="00190638" w:rsidRDefault="00190638" w:rsidP="00190638">
      <w:pPr>
        <w:numPr>
          <w:ilvl w:val="0"/>
          <w:numId w:val="12"/>
        </w:numPr>
        <w:spacing w:line="360" w:lineRule="auto"/>
        <w:rPr>
          <w:sz w:val="24"/>
        </w:rPr>
      </w:pPr>
      <w:r>
        <w:rPr>
          <w:rFonts w:hint="eastAsia"/>
          <w:b/>
          <w:sz w:val="24"/>
        </w:rPr>
        <w:t>招生对象</w:t>
      </w:r>
    </w:p>
    <w:p w:rsidR="00190638" w:rsidRDefault="00003AE4" w:rsidP="00190638">
      <w:pPr>
        <w:widowControl/>
        <w:spacing w:line="312" w:lineRule="auto"/>
        <w:ind w:left="510"/>
        <w:jc w:val="left"/>
        <w:rPr>
          <w:rFonts w:ascii="宋体" w:hAnsi="宋体"/>
        </w:rPr>
      </w:pPr>
      <w:r>
        <w:rPr>
          <w:rFonts w:ascii="宋体" w:hAnsi="宋体" w:hint="eastAsia"/>
        </w:rPr>
        <w:t>1.</w:t>
      </w:r>
      <w:r w:rsidR="00190638">
        <w:rPr>
          <w:rFonts w:ascii="宋体" w:hAnsi="宋体" w:hint="eastAsia"/>
        </w:rPr>
        <w:t>本院二、三年级“拔尖班”学生和若干优秀</w:t>
      </w:r>
      <w:r w:rsidR="004C4622">
        <w:rPr>
          <w:rFonts w:ascii="宋体" w:hAnsi="宋体" w:hint="eastAsia"/>
        </w:rPr>
        <w:t>非拔尖</w:t>
      </w:r>
      <w:r w:rsidR="004C4622">
        <w:rPr>
          <w:rFonts w:ascii="宋体" w:hAnsi="宋体"/>
        </w:rPr>
        <w:t>班</w:t>
      </w:r>
      <w:r w:rsidR="00190638">
        <w:rPr>
          <w:rFonts w:ascii="宋体" w:hAnsi="宋体" w:hint="eastAsia"/>
        </w:rPr>
        <w:t>学生</w:t>
      </w:r>
      <w:r w:rsidR="004C4622">
        <w:rPr>
          <w:rFonts w:ascii="宋体" w:hAnsi="宋体" w:hint="eastAsia"/>
        </w:rPr>
        <w:t>（成绩</w:t>
      </w:r>
      <w:r w:rsidR="004C4622">
        <w:rPr>
          <w:rFonts w:ascii="宋体" w:hAnsi="宋体"/>
        </w:rPr>
        <w:t>排名前5</w:t>
      </w:r>
      <w:r w:rsidR="004C4622">
        <w:rPr>
          <w:rFonts w:ascii="宋体" w:hAnsi="宋体" w:hint="eastAsia"/>
        </w:rPr>
        <w:t>0</w:t>
      </w:r>
      <w:r w:rsidR="004C4622">
        <w:rPr>
          <w:rFonts w:ascii="宋体" w:hAnsi="宋体"/>
        </w:rPr>
        <w:t>%</w:t>
      </w:r>
      <w:r w:rsidR="004C4622">
        <w:rPr>
          <w:rFonts w:ascii="宋体" w:hAnsi="宋体" w:hint="eastAsia"/>
        </w:rPr>
        <w:t>）</w:t>
      </w:r>
      <w:r w:rsidR="00190638">
        <w:rPr>
          <w:rFonts w:ascii="宋体" w:hAnsi="宋体" w:hint="eastAsia"/>
        </w:rPr>
        <w:t>共30名。</w:t>
      </w:r>
    </w:p>
    <w:p w:rsidR="00190638" w:rsidRDefault="00003AE4" w:rsidP="00190638">
      <w:pPr>
        <w:widowControl/>
        <w:spacing w:line="312" w:lineRule="auto"/>
        <w:ind w:left="510"/>
        <w:jc w:val="left"/>
        <w:rPr>
          <w:rFonts w:ascii="宋体" w:hAnsi="宋体"/>
        </w:rPr>
      </w:pPr>
      <w:r>
        <w:rPr>
          <w:rFonts w:ascii="宋体" w:hAnsi="宋体" w:hint="eastAsia"/>
        </w:rPr>
        <w:t>2.</w:t>
      </w:r>
      <w:r w:rsidR="00190638">
        <w:rPr>
          <w:rFonts w:ascii="宋体" w:hAnsi="宋体" w:hint="eastAsia"/>
        </w:rPr>
        <w:t>依托数学学科“拔尖计划”十校联盟，招收其它9个学校的二、三年级</w:t>
      </w:r>
      <w:r w:rsidR="00941C6F">
        <w:rPr>
          <w:rFonts w:ascii="宋体" w:hAnsi="宋体" w:hint="eastAsia"/>
        </w:rPr>
        <w:t>数学</w:t>
      </w:r>
      <w:r w:rsidR="00190638">
        <w:rPr>
          <w:rFonts w:ascii="宋体" w:hAnsi="宋体" w:hint="eastAsia"/>
        </w:rPr>
        <w:t>“拔尖计划”学生或优秀</w:t>
      </w:r>
      <w:r w:rsidR="004C4622">
        <w:rPr>
          <w:rFonts w:ascii="宋体" w:hAnsi="宋体" w:hint="eastAsia"/>
        </w:rPr>
        <w:t>非拔尖</w:t>
      </w:r>
      <w:r w:rsidR="004C4622">
        <w:rPr>
          <w:rFonts w:ascii="宋体" w:hAnsi="宋体"/>
        </w:rPr>
        <w:t>班</w:t>
      </w:r>
      <w:r w:rsidR="00190638">
        <w:rPr>
          <w:rFonts w:ascii="宋体" w:hAnsi="宋体" w:hint="eastAsia"/>
        </w:rPr>
        <w:t>学生</w:t>
      </w:r>
      <w:r w:rsidR="004C4622">
        <w:rPr>
          <w:rFonts w:ascii="宋体" w:hAnsi="宋体" w:hint="eastAsia"/>
        </w:rPr>
        <w:t>（成绩</w:t>
      </w:r>
      <w:r w:rsidR="004C4622">
        <w:rPr>
          <w:rFonts w:ascii="宋体" w:hAnsi="宋体"/>
        </w:rPr>
        <w:t>排名前5</w:t>
      </w:r>
      <w:r w:rsidR="004C4622">
        <w:rPr>
          <w:rFonts w:ascii="宋体" w:hAnsi="宋体" w:hint="eastAsia"/>
        </w:rPr>
        <w:t>0</w:t>
      </w:r>
      <w:r w:rsidR="004C4622">
        <w:rPr>
          <w:rFonts w:ascii="宋体" w:hAnsi="宋体"/>
        </w:rPr>
        <w:t>%</w:t>
      </w:r>
      <w:r w:rsidR="004C4622">
        <w:rPr>
          <w:rFonts w:ascii="宋体" w:hAnsi="宋体" w:hint="eastAsia"/>
        </w:rPr>
        <w:t>）</w:t>
      </w:r>
      <w:r w:rsidR="00190638">
        <w:rPr>
          <w:rFonts w:ascii="宋体" w:hAnsi="宋体" w:hint="eastAsia"/>
        </w:rPr>
        <w:t>30名。</w:t>
      </w:r>
    </w:p>
    <w:p w:rsidR="00190638" w:rsidRPr="00565188" w:rsidRDefault="008E50A5" w:rsidP="00565188">
      <w:pPr>
        <w:numPr>
          <w:ilvl w:val="0"/>
          <w:numId w:val="12"/>
        </w:numPr>
        <w:spacing w:line="360" w:lineRule="auto"/>
        <w:rPr>
          <w:b/>
          <w:sz w:val="24"/>
        </w:rPr>
      </w:pPr>
      <w:r w:rsidRPr="00565188">
        <w:rPr>
          <w:rFonts w:hint="eastAsia"/>
          <w:b/>
          <w:sz w:val="24"/>
        </w:rPr>
        <w:t>学员待遇</w:t>
      </w:r>
    </w:p>
    <w:p w:rsidR="004C4622" w:rsidRPr="00DC5E5C" w:rsidRDefault="008E50A5" w:rsidP="00DC5E5C">
      <w:pPr>
        <w:pStyle w:val="a8"/>
        <w:widowControl/>
        <w:numPr>
          <w:ilvl w:val="0"/>
          <w:numId w:val="14"/>
        </w:numPr>
        <w:spacing w:line="312" w:lineRule="auto"/>
        <w:ind w:firstLineChars="0"/>
        <w:jc w:val="left"/>
        <w:rPr>
          <w:rFonts w:ascii="宋体" w:hAnsi="宋体"/>
        </w:rPr>
      </w:pPr>
      <w:r w:rsidRPr="004C4622">
        <w:rPr>
          <w:rFonts w:ascii="宋体" w:hAnsi="宋体" w:hint="eastAsia"/>
        </w:rPr>
        <w:t>舒适的上课和自习环境；</w:t>
      </w:r>
    </w:p>
    <w:p w:rsidR="004C4622" w:rsidRDefault="008E50A5" w:rsidP="004C4622">
      <w:pPr>
        <w:pStyle w:val="a8"/>
        <w:widowControl/>
        <w:numPr>
          <w:ilvl w:val="0"/>
          <w:numId w:val="14"/>
        </w:numPr>
        <w:spacing w:line="312" w:lineRule="auto"/>
        <w:ind w:firstLineChars="0"/>
        <w:jc w:val="left"/>
        <w:rPr>
          <w:rFonts w:ascii="宋体" w:hAnsi="宋体"/>
        </w:rPr>
      </w:pPr>
      <w:r w:rsidRPr="004C4622">
        <w:rPr>
          <w:rFonts w:ascii="宋体" w:hAnsi="宋体" w:hint="eastAsia"/>
        </w:rPr>
        <w:t>餐补</w:t>
      </w:r>
      <w:r w:rsidR="004C4622">
        <w:rPr>
          <w:rFonts w:ascii="宋体" w:hAnsi="宋体" w:hint="eastAsia"/>
        </w:rPr>
        <w:t>4</w:t>
      </w:r>
      <w:r w:rsidR="004C4622">
        <w:rPr>
          <w:rFonts w:ascii="宋体" w:hAnsi="宋体"/>
        </w:rPr>
        <w:t>00</w:t>
      </w:r>
      <w:r w:rsidR="004C4622">
        <w:rPr>
          <w:rFonts w:ascii="宋体" w:hAnsi="宋体" w:hint="eastAsia"/>
        </w:rPr>
        <w:t>元</w:t>
      </w:r>
      <w:r w:rsidR="004C4622">
        <w:rPr>
          <w:rFonts w:ascii="宋体" w:hAnsi="宋体"/>
        </w:rPr>
        <w:t>；</w:t>
      </w:r>
    </w:p>
    <w:p w:rsidR="004C4622" w:rsidRDefault="004C4622" w:rsidP="004C4622">
      <w:pPr>
        <w:pStyle w:val="a8"/>
        <w:widowControl/>
        <w:numPr>
          <w:ilvl w:val="0"/>
          <w:numId w:val="14"/>
        </w:numPr>
        <w:spacing w:line="312" w:lineRule="auto"/>
        <w:ind w:firstLineChars="0"/>
        <w:jc w:val="left"/>
        <w:rPr>
          <w:rFonts w:ascii="宋体" w:hAnsi="宋体"/>
        </w:rPr>
      </w:pPr>
      <w:r>
        <w:rPr>
          <w:rFonts w:ascii="宋体" w:hAnsi="宋体" w:hint="eastAsia"/>
        </w:rPr>
        <w:t>提供</w:t>
      </w:r>
      <w:r w:rsidR="00DC5E5C">
        <w:rPr>
          <w:rFonts w:ascii="宋体" w:hAnsi="宋体" w:hint="eastAsia"/>
        </w:rPr>
        <w:t>学生</w:t>
      </w:r>
      <w:r w:rsidR="00DC5E5C">
        <w:rPr>
          <w:rFonts w:ascii="宋体" w:hAnsi="宋体"/>
        </w:rPr>
        <w:t>宿舍</w:t>
      </w:r>
      <w:r>
        <w:rPr>
          <w:rFonts w:ascii="宋体" w:hAnsi="宋体" w:hint="eastAsia"/>
        </w:rPr>
        <w:t>和生活</w:t>
      </w:r>
      <w:r>
        <w:rPr>
          <w:rFonts w:ascii="宋体" w:hAnsi="宋体"/>
        </w:rPr>
        <w:t>用品</w:t>
      </w:r>
      <w:r w:rsidR="008E50A5" w:rsidRPr="004C4622">
        <w:rPr>
          <w:rFonts w:ascii="宋体" w:hAnsi="宋体" w:hint="eastAsia"/>
        </w:rPr>
        <w:t>（限外校学员）</w:t>
      </w:r>
      <w:r w:rsidRPr="004C4622">
        <w:rPr>
          <w:rFonts w:ascii="宋体" w:hAnsi="宋体" w:hint="eastAsia"/>
        </w:rPr>
        <w:t>；</w:t>
      </w:r>
    </w:p>
    <w:p w:rsidR="00190638" w:rsidRPr="00DC5E5C" w:rsidRDefault="004C4622" w:rsidP="00DC5E5C">
      <w:pPr>
        <w:pStyle w:val="a8"/>
        <w:widowControl/>
        <w:numPr>
          <w:ilvl w:val="0"/>
          <w:numId w:val="14"/>
        </w:numPr>
        <w:spacing w:line="312" w:lineRule="auto"/>
        <w:ind w:firstLineChars="0"/>
        <w:jc w:val="left"/>
        <w:rPr>
          <w:rFonts w:ascii="宋体" w:hAnsi="宋体"/>
        </w:rPr>
      </w:pPr>
      <w:r>
        <w:rPr>
          <w:rFonts w:ascii="宋体" w:hAnsi="宋体"/>
        </w:rPr>
        <w:t>联谊</w:t>
      </w:r>
      <w:r w:rsidR="00DC5E5C">
        <w:rPr>
          <w:rFonts w:ascii="宋体" w:hAnsi="宋体"/>
        </w:rPr>
        <w:t>活动</w:t>
      </w:r>
      <w:r w:rsidR="00DC5E5C">
        <w:rPr>
          <w:rFonts w:ascii="宋体" w:hAnsi="宋体" w:hint="eastAsia"/>
        </w:rPr>
        <w:t>。</w:t>
      </w:r>
    </w:p>
    <w:p w:rsidR="00190638" w:rsidRDefault="00190638" w:rsidP="00190638">
      <w:pPr>
        <w:numPr>
          <w:ilvl w:val="0"/>
          <w:numId w:val="12"/>
        </w:numPr>
        <w:spacing w:line="360" w:lineRule="auto"/>
        <w:rPr>
          <w:b/>
          <w:sz w:val="24"/>
        </w:rPr>
      </w:pPr>
      <w:r w:rsidRPr="00190638">
        <w:rPr>
          <w:rFonts w:hint="eastAsia"/>
          <w:b/>
          <w:sz w:val="24"/>
        </w:rPr>
        <w:t>主讲教师</w:t>
      </w:r>
      <w:r w:rsidR="00565188">
        <w:rPr>
          <w:rFonts w:hint="eastAsia"/>
          <w:b/>
          <w:sz w:val="24"/>
        </w:rPr>
        <w:t>及</w:t>
      </w:r>
      <w:r w:rsidR="00565188">
        <w:rPr>
          <w:b/>
          <w:sz w:val="24"/>
        </w:rPr>
        <w:t>课程信息</w:t>
      </w:r>
    </w:p>
    <w:p w:rsidR="004C4622" w:rsidRPr="00565188" w:rsidRDefault="00D87D77" w:rsidP="00565188">
      <w:pPr>
        <w:pStyle w:val="a8"/>
        <w:widowControl/>
        <w:numPr>
          <w:ilvl w:val="0"/>
          <w:numId w:val="16"/>
        </w:numPr>
        <w:spacing w:line="312" w:lineRule="auto"/>
        <w:ind w:firstLineChars="0"/>
        <w:jc w:val="left"/>
        <w:rPr>
          <w:rFonts w:ascii="宋体" w:hAnsi="宋体"/>
        </w:rPr>
      </w:pPr>
      <w:r w:rsidRPr="00565188">
        <w:rPr>
          <w:rFonts w:ascii="宋体" w:hAnsi="宋体" w:hint="eastAsia"/>
        </w:rPr>
        <w:t xml:space="preserve">杜  </w:t>
      </w:r>
      <w:r w:rsidRPr="00565188">
        <w:rPr>
          <w:rFonts w:ascii="宋体" w:hAnsi="宋体"/>
        </w:rPr>
        <w:t>杰</w:t>
      </w:r>
      <w:r w:rsidRPr="00565188">
        <w:rPr>
          <w:rFonts w:ascii="宋体" w:hAnsi="宋体" w:hint="eastAsia"/>
        </w:rPr>
        <w:t>，</w:t>
      </w:r>
      <w:r w:rsidRPr="00565188">
        <w:rPr>
          <w:rFonts w:ascii="Arial" w:hAnsi="Arial" w:cs="Arial" w:hint="eastAsia"/>
          <w:color w:val="000000"/>
          <w:kern w:val="0"/>
          <w:sz w:val="22"/>
        </w:rPr>
        <w:t>新南威尔士大学教授</w:t>
      </w:r>
      <w:r w:rsidRPr="00565188">
        <w:rPr>
          <w:rFonts w:ascii="Arial" w:hAnsi="Arial" w:cs="Arial"/>
          <w:color w:val="000000"/>
          <w:kern w:val="0"/>
          <w:sz w:val="22"/>
        </w:rPr>
        <w:t>和厦门大学讲座教授</w:t>
      </w:r>
      <w:r w:rsidRPr="00565188">
        <w:rPr>
          <w:rFonts w:ascii="Arial" w:hAnsi="Arial" w:cs="Arial" w:hint="eastAsia"/>
          <w:color w:val="000000"/>
          <w:kern w:val="0"/>
          <w:sz w:val="22"/>
        </w:rPr>
        <w:t>。</w:t>
      </w:r>
    </w:p>
    <w:p w:rsidR="0028225A" w:rsidRDefault="0028225A" w:rsidP="0028225A">
      <w:pPr>
        <w:pStyle w:val="Default"/>
        <w:ind w:left="885"/>
      </w:pPr>
    </w:p>
    <w:p w:rsidR="0028225A" w:rsidRPr="0028225A" w:rsidRDefault="0028225A" w:rsidP="00565188">
      <w:pPr>
        <w:pStyle w:val="Default"/>
        <w:rPr>
          <w:rFonts w:ascii="Arial" w:hAnsi="Arial" w:cs="Arial"/>
          <w:sz w:val="22"/>
          <w:szCs w:val="22"/>
        </w:rPr>
      </w:pPr>
      <w:r w:rsidRPr="0028225A">
        <w:rPr>
          <w:rFonts w:ascii="Arial" w:hAnsi="Arial" w:cs="Arial" w:hint="eastAsia"/>
          <w:sz w:val="22"/>
          <w:szCs w:val="22"/>
        </w:rPr>
        <w:t>名称</w:t>
      </w:r>
      <w:r w:rsidRPr="0028225A">
        <w:rPr>
          <w:rFonts w:ascii="Arial" w:hAnsi="Arial" w:cs="Arial"/>
          <w:sz w:val="22"/>
          <w:szCs w:val="22"/>
        </w:rPr>
        <w:t>：</w:t>
      </w:r>
      <w:r w:rsidRPr="0028225A">
        <w:rPr>
          <w:rFonts w:ascii="Arial" w:hAnsi="Arial" w:cs="Arial"/>
          <w:sz w:val="22"/>
          <w:szCs w:val="22"/>
        </w:rPr>
        <w:t xml:space="preserve">Geometries and Transformation Groups </w:t>
      </w:r>
    </w:p>
    <w:p w:rsidR="0028225A" w:rsidRDefault="0028225A" w:rsidP="00565188">
      <w:pPr>
        <w:pStyle w:val="Default"/>
        <w:jc w:val="both"/>
        <w:rPr>
          <w:rFonts w:ascii="Arial" w:hAnsi="Arial" w:cs="Arial"/>
          <w:sz w:val="22"/>
          <w:szCs w:val="22"/>
        </w:rPr>
      </w:pPr>
      <w:r>
        <w:rPr>
          <w:rFonts w:ascii="Arial" w:hAnsi="Arial" w:cs="Arial" w:hint="eastAsia"/>
          <w:sz w:val="22"/>
          <w:szCs w:val="22"/>
        </w:rPr>
        <w:t>简介</w:t>
      </w:r>
      <w:r>
        <w:rPr>
          <w:rFonts w:ascii="Arial" w:hAnsi="Arial" w:cs="Arial"/>
          <w:sz w:val="22"/>
          <w:szCs w:val="22"/>
        </w:rPr>
        <w:t>：</w:t>
      </w:r>
      <w:r>
        <w:rPr>
          <w:rFonts w:ascii="Arial" w:hAnsi="Arial" w:cs="Arial"/>
          <w:sz w:val="22"/>
          <w:szCs w:val="22"/>
        </w:rPr>
        <w:t xml:space="preserve">Mathematics went through quite a revolution around the turn of the 20th century. In particular, an axiomatic approach infiltrated the mathematical paradigm, both as a tool to ensure mathematical rigour and to abstract common principles working in a variety of different settings. </w:t>
      </w:r>
    </w:p>
    <w:p w:rsidR="0028225A" w:rsidRDefault="0028225A" w:rsidP="00565188">
      <w:pPr>
        <w:pStyle w:val="Default"/>
        <w:jc w:val="both"/>
        <w:rPr>
          <w:rFonts w:ascii="Arial" w:hAnsi="Arial" w:cs="Arial"/>
          <w:sz w:val="22"/>
          <w:szCs w:val="22"/>
        </w:rPr>
      </w:pPr>
      <w:r>
        <w:rPr>
          <w:rFonts w:ascii="Arial" w:hAnsi="Arial" w:cs="Arial"/>
          <w:sz w:val="22"/>
          <w:szCs w:val="22"/>
        </w:rPr>
        <w:t xml:space="preserve">First year mathematics emphasizes computation over abstraction and rigour. Later year courses (and Pure Mathematics in general) reverse this, so students need to learn some new skills and some new ways of thinking about mathematical objects. </w:t>
      </w:r>
    </w:p>
    <w:p w:rsidR="0028225A" w:rsidRDefault="0028225A" w:rsidP="00565188">
      <w:pPr>
        <w:pStyle w:val="Default"/>
        <w:jc w:val="both"/>
        <w:rPr>
          <w:rFonts w:ascii="Arial" w:hAnsi="Arial" w:cs="Arial"/>
          <w:sz w:val="22"/>
          <w:szCs w:val="22"/>
        </w:rPr>
      </w:pPr>
      <w:r>
        <w:rPr>
          <w:rFonts w:ascii="Arial" w:hAnsi="Arial" w:cs="Arial"/>
          <w:sz w:val="22"/>
          <w:szCs w:val="22"/>
        </w:rPr>
        <w:t xml:space="preserve">This course is designed to help you develop the ability to write rigorous mathematical proofs in a setting where the level of abstraction is still quite modest. As such it will </w:t>
      </w:r>
      <w:r>
        <w:rPr>
          <w:rFonts w:ascii="Arial" w:hAnsi="Arial" w:cs="Arial"/>
          <w:sz w:val="22"/>
          <w:szCs w:val="22"/>
        </w:rPr>
        <w:lastRenderedPageBreak/>
        <w:t xml:space="preserve">serve as an excellent preparation for the higher year Pure Mathematics courses. </w:t>
      </w:r>
    </w:p>
    <w:p w:rsidR="0028225A" w:rsidRDefault="0028225A" w:rsidP="00565188">
      <w:pPr>
        <w:widowControl/>
        <w:spacing w:line="312" w:lineRule="auto"/>
        <w:rPr>
          <w:rFonts w:ascii="Arial" w:hAnsi="Arial" w:cs="Arial"/>
          <w:sz w:val="22"/>
          <w:szCs w:val="22"/>
        </w:rPr>
      </w:pPr>
      <w:r w:rsidRPr="00565188">
        <w:rPr>
          <w:rFonts w:ascii="Arial" w:hAnsi="Arial" w:cs="Arial"/>
          <w:sz w:val="22"/>
          <w:szCs w:val="22"/>
        </w:rPr>
        <w:t xml:space="preserve">We will study various geometries via the groups of allowable transformations. Starting with the Euclidean Geometry, the allowable transformations in this geometry are those preserving distance. We will have a close look at the classifications of plane isometries and the symmetry groups in </w:t>
      </w:r>
      <w:r w:rsidRPr="00565188">
        <w:rPr>
          <w:rFonts w:ascii="Cambria Math" w:hAnsi="Cambria Math" w:cs="Cambria Math"/>
          <w:sz w:val="22"/>
          <w:szCs w:val="22"/>
        </w:rPr>
        <w:t>𝑹𝑹</w:t>
      </w:r>
      <w:r w:rsidRPr="00565188">
        <w:rPr>
          <w:rFonts w:ascii="Cambria Math" w:hAnsi="Cambria Math" w:cs="Cambria Math"/>
          <w:sz w:val="16"/>
          <w:szCs w:val="16"/>
        </w:rPr>
        <w:t xml:space="preserve">2 </w:t>
      </w:r>
      <w:r w:rsidRPr="00565188">
        <w:rPr>
          <w:rFonts w:ascii="Arial" w:hAnsi="Arial" w:cs="Arial"/>
          <w:sz w:val="22"/>
          <w:szCs w:val="22"/>
        </w:rPr>
        <w:t xml:space="preserve">and </w:t>
      </w:r>
      <w:r w:rsidRPr="00565188">
        <w:rPr>
          <w:rFonts w:ascii="Cambria Math" w:hAnsi="Cambria Math" w:cs="Cambria Math"/>
          <w:sz w:val="22"/>
          <w:szCs w:val="22"/>
        </w:rPr>
        <w:t>𝑹𝑹</w:t>
      </w:r>
      <w:r w:rsidRPr="00565188">
        <w:rPr>
          <w:rFonts w:ascii="Cambria Math" w:hAnsi="Cambria Math" w:cs="Cambria Math"/>
          <w:sz w:val="16"/>
          <w:szCs w:val="16"/>
        </w:rPr>
        <w:t>3</w:t>
      </w:r>
      <w:r w:rsidRPr="00565188">
        <w:rPr>
          <w:rFonts w:ascii="Cambria Math" w:hAnsi="Cambria Math" w:cs="Cambria Math"/>
          <w:sz w:val="22"/>
          <w:szCs w:val="22"/>
        </w:rPr>
        <w:t xml:space="preserve">. </w:t>
      </w:r>
      <w:r w:rsidRPr="00565188">
        <w:rPr>
          <w:rFonts w:ascii="Arial" w:hAnsi="Arial" w:cs="Arial"/>
          <w:sz w:val="22"/>
          <w:szCs w:val="22"/>
        </w:rPr>
        <w:t>Then we move on to look at the Similarity Geometry, the Affine Geometry and the Projective Geometry via the transformations that preserve, respectively, angles, parallelism or send lines to lines. We will investigate the relationship between the groups of these transformations and give some applications to the classical triangle geometry.</w:t>
      </w:r>
    </w:p>
    <w:p w:rsidR="00565188" w:rsidRPr="00565188" w:rsidRDefault="00565188" w:rsidP="00565188">
      <w:pPr>
        <w:widowControl/>
        <w:spacing w:line="312" w:lineRule="auto"/>
        <w:rPr>
          <w:rFonts w:ascii="宋体" w:hAnsi="宋体"/>
        </w:rPr>
      </w:pPr>
    </w:p>
    <w:p w:rsidR="004C4622" w:rsidRPr="00565188" w:rsidRDefault="00D87D77" w:rsidP="00565188">
      <w:pPr>
        <w:pStyle w:val="a8"/>
        <w:widowControl/>
        <w:numPr>
          <w:ilvl w:val="0"/>
          <w:numId w:val="16"/>
        </w:numPr>
        <w:spacing w:line="312" w:lineRule="auto"/>
        <w:ind w:firstLineChars="0"/>
        <w:jc w:val="left"/>
        <w:rPr>
          <w:rFonts w:ascii="宋体" w:hAnsi="宋体"/>
        </w:rPr>
      </w:pPr>
      <w:r w:rsidRPr="00565188">
        <w:rPr>
          <w:rFonts w:ascii="宋体" w:hAnsi="宋体"/>
        </w:rPr>
        <w:t>邱瑞</w:t>
      </w:r>
      <w:r w:rsidRPr="00565188">
        <w:rPr>
          <w:rFonts w:ascii="宋体" w:hAnsi="宋体" w:hint="eastAsia"/>
        </w:rPr>
        <w:t>锋</w:t>
      </w:r>
      <w:r w:rsidRPr="00565188">
        <w:rPr>
          <w:rFonts w:ascii="宋体" w:hAnsi="宋体"/>
        </w:rPr>
        <w:t>，华东师范大学教授、</w:t>
      </w:r>
      <w:r w:rsidRPr="00565188">
        <w:rPr>
          <w:rFonts w:ascii="宋体" w:hAnsi="宋体" w:hint="eastAsia"/>
        </w:rPr>
        <w:t>杰青</w:t>
      </w:r>
      <w:r w:rsidRPr="00565188">
        <w:rPr>
          <w:rFonts w:ascii="宋体" w:hAnsi="宋体"/>
        </w:rPr>
        <w:t>。</w:t>
      </w:r>
    </w:p>
    <w:p w:rsidR="00565188" w:rsidRPr="00565188" w:rsidRDefault="00565188" w:rsidP="0028225A">
      <w:pPr>
        <w:pStyle w:val="a8"/>
        <w:widowControl/>
        <w:spacing w:line="312" w:lineRule="auto"/>
        <w:ind w:left="885" w:firstLineChars="0" w:firstLine="0"/>
        <w:jc w:val="left"/>
        <w:rPr>
          <w:rFonts w:ascii="宋体" w:hAnsi="宋体"/>
        </w:rPr>
      </w:pPr>
    </w:p>
    <w:p w:rsidR="0028225A" w:rsidRPr="00565188" w:rsidRDefault="0028225A" w:rsidP="00565188">
      <w:pPr>
        <w:widowControl/>
        <w:spacing w:line="312" w:lineRule="auto"/>
        <w:jc w:val="left"/>
        <w:rPr>
          <w:rFonts w:ascii="宋体" w:hAnsi="宋体"/>
        </w:rPr>
      </w:pPr>
      <w:r w:rsidRPr="00565188">
        <w:rPr>
          <w:rFonts w:ascii="宋体" w:hAnsi="宋体" w:hint="eastAsia"/>
        </w:rPr>
        <w:t>课程详情</w:t>
      </w:r>
      <w:r w:rsidRPr="00565188">
        <w:rPr>
          <w:rFonts w:ascii="宋体" w:hAnsi="宋体"/>
        </w:rPr>
        <w:t>待定。</w:t>
      </w:r>
    </w:p>
    <w:p w:rsidR="00565188" w:rsidRPr="004C4622" w:rsidRDefault="00565188" w:rsidP="0028225A">
      <w:pPr>
        <w:pStyle w:val="a8"/>
        <w:widowControl/>
        <w:spacing w:line="312" w:lineRule="auto"/>
        <w:ind w:left="885" w:firstLineChars="0" w:firstLine="0"/>
        <w:jc w:val="left"/>
        <w:rPr>
          <w:rFonts w:ascii="宋体" w:hAnsi="宋体"/>
        </w:rPr>
      </w:pPr>
    </w:p>
    <w:p w:rsidR="004C4622" w:rsidRDefault="00D87D77" w:rsidP="00565188">
      <w:pPr>
        <w:pStyle w:val="a8"/>
        <w:widowControl/>
        <w:numPr>
          <w:ilvl w:val="0"/>
          <w:numId w:val="16"/>
        </w:numPr>
        <w:spacing w:line="312" w:lineRule="auto"/>
        <w:ind w:firstLineChars="0"/>
        <w:jc w:val="left"/>
        <w:rPr>
          <w:rFonts w:ascii="宋体" w:hAnsi="宋体"/>
        </w:rPr>
      </w:pPr>
      <w:r>
        <w:rPr>
          <w:rFonts w:ascii="宋体" w:hAnsi="宋体" w:hint="eastAsia"/>
        </w:rPr>
        <w:t>李  竞，中国</w:t>
      </w:r>
      <w:r>
        <w:rPr>
          <w:rFonts w:ascii="宋体" w:hAnsi="宋体"/>
        </w:rPr>
        <w:t>科学院研究员</w:t>
      </w:r>
      <w:r>
        <w:rPr>
          <w:rFonts w:ascii="宋体" w:hAnsi="宋体" w:hint="eastAsia"/>
        </w:rPr>
        <w:t>、</w:t>
      </w:r>
      <w:r>
        <w:rPr>
          <w:rFonts w:ascii="宋体" w:hAnsi="宋体"/>
        </w:rPr>
        <w:t>杰青</w:t>
      </w:r>
      <w:r>
        <w:rPr>
          <w:rFonts w:ascii="宋体" w:hAnsi="宋体" w:hint="eastAsia"/>
        </w:rPr>
        <w:t>、</w:t>
      </w:r>
      <w:r>
        <w:rPr>
          <w:rFonts w:ascii="宋体" w:hAnsi="宋体"/>
        </w:rPr>
        <w:t>厦门大学讲座教授。</w:t>
      </w:r>
    </w:p>
    <w:p w:rsidR="0028225A" w:rsidRDefault="0028225A" w:rsidP="0028225A">
      <w:pPr>
        <w:pStyle w:val="a8"/>
        <w:widowControl/>
        <w:spacing w:line="312" w:lineRule="auto"/>
        <w:ind w:left="885" w:firstLineChars="0" w:firstLine="0"/>
        <w:jc w:val="left"/>
        <w:rPr>
          <w:rFonts w:ascii="宋体" w:hAnsi="宋体"/>
        </w:rPr>
      </w:pPr>
    </w:p>
    <w:p w:rsidR="0028225A" w:rsidRPr="00565188" w:rsidRDefault="0028225A" w:rsidP="00565188">
      <w:pPr>
        <w:widowControl/>
        <w:spacing w:line="312" w:lineRule="auto"/>
        <w:jc w:val="left"/>
        <w:rPr>
          <w:rFonts w:ascii="宋体" w:hAnsi="宋体"/>
        </w:rPr>
      </w:pPr>
      <w:r w:rsidRPr="00565188">
        <w:rPr>
          <w:rFonts w:ascii="宋体" w:hAnsi="宋体" w:hint="eastAsia"/>
        </w:rPr>
        <w:t>名称</w:t>
      </w:r>
      <w:r w:rsidRPr="00565188">
        <w:rPr>
          <w:rFonts w:ascii="宋体" w:hAnsi="宋体"/>
        </w:rPr>
        <w:t>：</w:t>
      </w:r>
      <w:r w:rsidRPr="00565188">
        <w:rPr>
          <w:rFonts w:ascii="宋体" w:hAnsi="宋体" w:hint="eastAsia"/>
        </w:rPr>
        <w:t>1维可压缩Navier-Stokes方程的若干数学问题</w:t>
      </w:r>
    </w:p>
    <w:p w:rsidR="0028225A" w:rsidRPr="0028225A" w:rsidRDefault="0028225A" w:rsidP="00565188">
      <w:pPr>
        <w:widowControl/>
        <w:shd w:val="clear" w:color="auto" w:fill="FFFFFF"/>
        <w:spacing w:line="360" w:lineRule="atLeast"/>
        <w:jc w:val="left"/>
        <w:rPr>
          <w:rFonts w:ascii="Arial" w:hAnsi="Arial" w:cs="Arial"/>
          <w:sz w:val="22"/>
          <w:szCs w:val="22"/>
        </w:rPr>
      </w:pPr>
      <w:r w:rsidRPr="0028225A">
        <w:rPr>
          <w:rFonts w:ascii="Arial" w:hAnsi="Arial" w:cs="Arial" w:hint="eastAsia"/>
          <w:sz w:val="22"/>
          <w:szCs w:val="22"/>
        </w:rPr>
        <w:t>简介：</w:t>
      </w:r>
      <w:r w:rsidRPr="0028225A">
        <w:rPr>
          <w:rFonts w:ascii="Arial" w:hAnsi="Arial" w:cs="Arial"/>
          <w:sz w:val="22"/>
          <w:szCs w:val="22"/>
        </w:rPr>
        <w:t>Navier Stokes</w:t>
      </w:r>
      <w:r w:rsidRPr="0028225A">
        <w:rPr>
          <w:rFonts w:ascii="Arial" w:hAnsi="Arial" w:cs="Arial"/>
          <w:sz w:val="22"/>
          <w:szCs w:val="22"/>
        </w:rPr>
        <w:t>（纳维叶－斯托克斯）</w:t>
      </w:r>
      <w:hyperlink r:id="rId7" w:tgtFrame="_blank" w:history="1">
        <w:r w:rsidRPr="0028225A">
          <w:rPr>
            <w:rFonts w:ascii="Arial" w:hAnsi="Arial" w:cs="Arial"/>
            <w:sz w:val="22"/>
            <w:szCs w:val="22"/>
          </w:rPr>
          <w:t>方程</w:t>
        </w:r>
      </w:hyperlink>
      <w:r w:rsidRPr="0028225A">
        <w:rPr>
          <w:rFonts w:ascii="Arial" w:hAnsi="Arial" w:cs="Arial"/>
          <w:sz w:val="22"/>
          <w:szCs w:val="22"/>
        </w:rPr>
        <w:t>是流体力学中描述粘性</w:t>
      </w:r>
      <w:hyperlink r:id="rId8" w:tgtFrame="_blank" w:history="1">
        <w:r w:rsidRPr="0028225A">
          <w:rPr>
            <w:rFonts w:ascii="Arial" w:hAnsi="Arial" w:cs="Arial"/>
            <w:sz w:val="22"/>
            <w:szCs w:val="22"/>
          </w:rPr>
          <w:t>牛顿流体</w:t>
        </w:r>
      </w:hyperlink>
      <w:r w:rsidRPr="0028225A">
        <w:rPr>
          <w:rFonts w:ascii="Arial" w:hAnsi="Arial" w:cs="Arial"/>
          <w:sz w:val="22"/>
          <w:szCs w:val="22"/>
        </w:rPr>
        <w:t>的方程，是目前为止尚未被完全解决的方程，目前只有大约一百多个特解被解出来，是最复杂的</w:t>
      </w:r>
      <w:hyperlink r:id="rId9" w:tgtFrame="_blank" w:history="1">
        <w:r w:rsidRPr="0028225A">
          <w:rPr>
            <w:rFonts w:ascii="Arial" w:hAnsi="Arial" w:cs="Arial"/>
            <w:sz w:val="22"/>
            <w:szCs w:val="22"/>
          </w:rPr>
          <w:t>方程</w:t>
        </w:r>
      </w:hyperlink>
      <w:r w:rsidRPr="0028225A">
        <w:rPr>
          <w:rFonts w:ascii="Arial" w:hAnsi="Arial" w:cs="Arial"/>
          <w:sz w:val="22"/>
          <w:szCs w:val="22"/>
        </w:rPr>
        <w:t>之一。</w:t>
      </w:r>
      <w:r w:rsidRPr="0028225A">
        <w:rPr>
          <w:rFonts w:ascii="Arial" w:hAnsi="Arial" w:cs="Arial" w:hint="eastAsia"/>
          <w:sz w:val="22"/>
          <w:szCs w:val="22"/>
        </w:rPr>
        <w:t>本课程</w:t>
      </w:r>
      <w:r w:rsidRPr="0028225A">
        <w:rPr>
          <w:rFonts w:ascii="Arial" w:hAnsi="Arial" w:cs="Arial"/>
          <w:sz w:val="22"/>
          <w:szCs w:val="22"/>
        </w:rPr>
        <w:t>将</w:t>
      </w:r>
      <w:r w:rsidRPr="0028225A">
        <w:rPr>
          <w:rFonts w:ascii="Arial" w:hAnsi="Arial" w:cs="Arial" w:hint="eastAsia"/>
          <w:sz w:val="22"/>
          <w:szCs w:val="22"/>
        </w:rPr>
        <w:t>介绍</w:t>
      </w:r>
      <w:r w:rsidRPr="0028225A">
        <w:rPr>
          <w:rFonts w:ascii="Arial" w:hAnsi="Arial" w:cs="Arial" w:hint="eastAsia"/>
          <w:sz w:val="22"/>
          <w:szCs w:val="22"/>
        </w:rPr>
        <w:t>1</w:t>
      </w:r>
      <w:r w:rsidRPr="0028225A">
        <w:rPr>
          <w:rFonts w:ascii="Arial" w:hAnsi="Arial" w:cs="Arial" w:hint="eastAsia"/>
          <w:sz w:val="22"/>
          <w:szCs w:val="22"/>
        </w:rPr>
        <w:t>维可压缩</w:t>
      </w:r>
      <w:r w:rsidRPr="0028225A">
        <w:rPr>
          <w:rFonts w:ascii="Arial" w:hAnsi="Arial" w:cs="Arial" w:hint="eastAsia"/>
          <w:sz w:val="22"/>
          <w:szCs w:val="22"/>
        </w:rPr>
        <w:t>Navier-Stokes</w:t>
      </w:r>
      <w:r w:rsidRPr="0028225A">
        <w:rPr>
          <w:rFonts w:ascii="Arial" w:hAnsi="Arial" w:cs="Arial" w:hint="eastAsia"/>
          <w:sz w:val="22"/>
          <w:szCs w:val="22"/>
        </w:rPr>
        <w:t>方程（等熵和非等熵）古典解的整体存在性与大时间行为。课程</w:t>
      </w:r>
      <w:r w:rsidRPr="0028225A">
        <w:rPr>
          <w:rFonts w:ascii="Arial" w:hAnsi="Arial" w:cs="Arial"/>
          <w:sz w:val="22"/>
          <w:szCs w:val="22"/>
        </w:rPr>
        <w:t>大部分内容只需学生具备微积分</w:t>
      </w:r>
      <w:r w:rsidRPr="0028225A">
        <w:rPr>
          <w:rFonts w:ascii="Arial" w:hAnsi="Arial" w:cs="Arial" w:hint="eastAsia"/>
          <w:sz w:val="22"/>
          <w:szCs w:val="22"/>
        </w:rPr>
        <w:t>基础即可</w:t>
      </w:r>
      <w:r w:rsidRPr="0028225A">
        <w:rPr>
          <w:rFonts w:ascii="Arial" w:hAnsi="Arial" w:cs="Arial"/>
          <w:sz w:val="22"/>
          <w:szCs w:val="22"/>
        </w:rPr>
        <w:t>学</w:t>
      </w:r>
      <w:r w:rsidRPr="0028225A">
        <w:rPr>
          <w:rFonts w:ascii="Arial" w:hAnsi="Arial" w:cs="Arial" w:hint="eastAsia"/>
          <w:sz w:val="22"/>
          <w:szCs w:val="22"/>
        </w:rPr>
        <w:t>习</w:t>
      </w:r>
      <w:r w:rsidRPr="0028225A">
        <w:rPr>
          <w:rFonts w:ascii="Arial" w:hAnsi="Arial" w:cs="Arial"/>
          <w:sz w:val="22"/>
          <w:szCs w:val="22"/>
        </w:rPr>
        <w:t>。</w:t>
      </w:r>
    </w:p>
    <w:p w:rsidR="0028225A" w:rsidRPr="0028225A" w:rsidRDefault="0028225A" w:rsidP="0028225A">
      <w:pPr>
        <w:pStyle w:val="a8"/>
        <w:widowControl/>
        <w:spacing w:line="312" w:lineRule="auto"/>
        <w:ind w:left="885" w:firstLineChars="0" w:firstLine="0"/>
        <w:jc w:val="left"/>
        <w:rPr>
          <w:rFonts w:ascii="宋体" w:hAnsi="宋体"/>
        </w:rPr>
      </w:pPr>
    </w:p>
    <w:p w:rsidR="00003AE4" w:rsidRPr="0028225A" w:rsidRDefault="00D87D77" w:rsidP="00565188">
      <w:pPr>
        <w:pStyle w:val="a8"/>
        <w:widowControl/>
        <w:numPr>
          <w:ilvl w:val="0"/>
          <w:numId w:val="16"/>
        </w:numPr>
        <w:spacing w:line="312" w:lineRule="auto"/>
        <w:ind w:firstLineChars="0"/>
        <w:jc w:val="left"/>
        <w:rPr>
          <w:rFonts w:ascii="宋体" w:hAnsi="宋体"/>
        </w:rPr>
      </w:pPr>
      <w:r>
        <w:rPr>
          <w:rFonts w:ascii="宋体" w:hAnsi="宋体" w:hint="eastAsia"/>
          <w:color w:val="000000"/>
          <w:kern w:val="0"/>
          <w:szCs w:val="21"/>
        </w:rPr>
        <w:t>汤</w:t>
      </w:r>
      <w:r>
        <w:rPr>
          <w:rFonts w:ascii="宋体" w:hAnsi="宋体"/>
          <w:color w:val="000000"/>
          <w:kern w:val="0"/>
          <w:szCs w:val="21"/>
        </w:rPr>
        <w:t>华中</w:t>
      </w:r>
      <w:r>
        <w:rPr>
          <w:rFonts w:ascii="宋体" w:hAnsi="宋体" w:hint="eastAsia"/>
          <w:color w:val="000000"/>
          <w:kern w:val="0"/>
          <w:szCs w:val="21"/>
        </w:rPr>
        <w:t>，</w:t>
      </w:r>
      <w:r>
        <w:rPr>
          <w:rFonts w:ascii="宋体" w:hAnsi="宋体"/>
          <w:color w:val="000000"/>
          <w:kern w:val="0"/>
          <w:szCs w:val="21"/>
        </w:rPr>
        <w:t>北京大学教授、杰青。</w:t>
      </w:r>
    </w:p>
    <w:p w:rsidR="00565188" w:rsidRDefault="00565188" w:rsidP="00565188">
      <w:pPr>
        <w:widowControl/>
        <w:spacing w:line="312" w:lineRule="auto"/>
        <w:jc w:val="left"/>
        <w:rPr>
          <w:rFonts w:ascii="Arial" w:hAnsi="Arial" w:cs="Arial"/>
          <w:sz w:val="22"/>
          <w:szCs w:val="22"/>
        </w:rPr>
      </w:pPr>
    </w:p>
    <w:p w:rsidR="0028225A" w:rsidRPr="0028225A" w:rsidRDefault="0028225A" w:rsidP="00565188">
      <w:pPr>
        <w:widowControl/>
        <w:spacing w:line="312" w:lineRule="auto"/>
        <w:jc w:val="left"/>
        <w:rPr>
          <w:rFonts w:ascii="Arial" w:hAnsi="Arial" w:cs="Arial"/>
          <w:sz w:val="22"/>
          <w:szCs w:val="22"/>
        </w:rPr>
      </w:pPr>
      <w:r w:rsidRPr="0028225A">
        <w:rPr>
          <w:rFonts w:ascii="Arial" w:hAnsi="Arial" w:cs="Arial" w:hint="eastAsia"/>
          <w:sz w:val="22"/>
          <w:szCs w:val="22"/>
        </w:rPr>
        <w:t>名称</w:t>
      </w:r>
      <w:r w:rsidRPr="0028225A">
        <w:rPr>
          <w:rFonts w:ascii="Arial" w:hAnsi="Arial" w:cs="Arial"/>
          <w:sz w:val="22"/>
          <w:szCs w:val="22"/>
        </w:rPr>
        <w:t>：</w:t>
      </w:r>
      <w:r w:rsidRPr="0028225A">
        <w:rPr>
          <w:rFonts w:ascii="Arial" w:hAnsi="Arial" w:cs="Arial"/>
          <w:sz w:val="22"/>
          <w:szCs w:val="22"/>
        </w:rPr>
        <w:t>Numerical Methods for Hyperbolic Conservation Laws</w:t>
      </w:r>
    </w:p>
    <w:p w:rsidR="00565188" w:rsidRDefault="0028225A" w:rsidP="00565188">
      <w:pPr>
        <w:autoSpaceDE w:val="0"/>
        <w:autoSpaceDN w:val="0"/>
        <w:adjustRightInd w:val="0"/>
        <w:rPr>
          <w:rFonts w:ascii="Arial" w:hAnsi="Arial" w:cs="Arial"/>
          <w:sz w:val="22"/>
          <w:szCs w:val="22"/>
        </w:rPr>
      </w:pPr>
      <w:r w:rsidRPr="0028225A">
        <w:rPr>
          <w:rFonts w:ascii="Arial" w:hAnsi="Arial" w:cs="Arial" w:hint="eastAsia"/>
          <w:sz w:val="22"/>
          <w:szCs w:val="22"/>
        </w:rPr>
        <w:t>简介</w:t>
      </w:r>
      <w:r w:rsidRPr="0028225A">
        <w:rPr>
          <w:rFonts w:ascii="Arial" w:hAnsi="Arial" w:cs="Arial"/>
          <w:sz w:val="22"/>
          <w:szCs w:val="22"/>
        </w:rPr>
        <w:t>：</w:t>
      </w:r>
    </w:p>
    <w:p w:rsidR="0028225A" w:rsidRPr="0028225A" w:rsidRDefault="0028225A" w:rsidP="00565188">
      <w:pPr>
        <w:autoSpaceDE w:val="0"/>
        <w:autoSpaceDN w:val="0"/>
        <w:adjustRightInd w:val="0"/>
        <w:rPr>
          <w:rFonts w:ascii="Arial" w:hAnsi="Arial" w:cs="Arial"/>
          <w:sz w:val="22"/>
          <w:szCs w:val="22"/>
        </w:rPr>
      </w:pPr>
      <w:r>
        <w:rPr>
          <w:rFonts w:ascii="Arial" w:hAnsi="Arial" w:cs="Arial" w:hint="eastAsia"/>
          <w:sz w:val="22"/>
          <w:szCs w:val="22"/>
        </w:rPr>
        <w:t>（</w:t>
      </w:r>
      <w:r>
        <w:rPr>
          <w:rFonts w:ascii="Arial" w:hAnsi="Arial" w:cs="Arial" w:hint="eastAsia"/>
          <w:sz w:val="22"/>
          <w:szCs w:val="22"/>
        </w:rPr>
        <w:t>1</w:t>
      </w:r>
      <w:r>
        <w:rPr>
          <w:rFonts w:ascii="Arial" w:hAnsi="Arial" w:cs="Arial" w:hint="eastAsia"/>
          <w:sz w:val="22"/>
          <w:szCs w:val="22"/>
        </w:rPr>
        <w:t>）摘要</w:t>
      </w:r>
      <w:r>
        <w:rPr>
          <w:rFonts w:ascii="Arial" w:hAnsi="Arial" w:cs="Arial"/>
          <w:sz w:val="22"/>
          <w:szCs w:val="22"/>
        </w:rPr>
        <w:t>：</w:t>
      </w:r>
      <w:r w:rsidRPr="0028225A">
        <w:rPr>
          <w:rFonts w:ascii="Arial" w:hAnsi="Arial" w:cs="Arial"/>
          <w:sz w:val="22"/>
          <w:szCs w:val="22"/>
        </w:rPr>
        <w:t>The mathematical tools introduced in other four mini-courses are essential in developing, analyzing,and successfully using numerical methods for hyperbolic conservation laws, particularlyfor problems involving shock waves.</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This 18</w:t>
      </w:r>
      <w:r w:rsidR="00565188">
        <w:rPr>
          <w:rFonts w:ascii="Arial" w:hAnsi="Arial" w:cs="Arial"/>
          <w:sz w:val="22"/>
          <w:szCs w:val="22"/>
        </w:rPr>
        <w:t>-</w:t>
      </w:r>
      <w:r w:rsidRPr="0028225A">
        <w:rPr>
          <w:rFonts w:ascii="Arial" w:hAnsi="Arial" w:cs="Arial"/>
          <w:sz w:val="22"/>
          <w:szCs w:val="22"/>
        </w:rPr>
        <w:t xml:space="preserve">20 hour mini-course is devoted to some fundamental aspects and recent developmentson numerical methods for hyperbolic conservation laws. The content will cover </w:t>
      </w:r>
      <w:r w:rsidR="00565188">
        <w:rPr>
          <w:rFonts w:ascii="Arial" w:hAnsi="Arial" w:cs="Arial"/>
          <w:sz w:val="22"/>
          <w:szCs w:val="22"/>
        </w:rPr>
        <w:t>fi</w:t>
      </w:r>
      <w:r w:rsidRPr="0028225A">
        <w:rPr>
          <w:rFonts w:ascii="Arial" w:hAnsi="Arial" w:cs="Arial"/>
          <w:sz w:val="22"/>
          <w:szCs w:val="22"/>
        </w:rPr>
        <w:t>nite di</w:t>
      </w:r>
      <w:r w:rsidR="00565188">
        <w:rPr>
          <w:rFonts w:ascii="Arial" w:hAnsi="Arial" w:cs="Arial"/>
          <w:sz w:val="22"/>
          <w:szCs w:val="22"/>
        </w:rPr>
        <w:t>ff</w:t>
      </w:r>
      <w:r w:rsidRPr="0028225A">
        <w:rPr>
          <w:rFonts w:ascii="Arial" w:hAnsi="Arial" w:cs="Arial"/>
          <w:sz w:val="22"/>
          <w:szCs w:val="22"/>
        </w:rPr>
        <w:t xml:space="preserve">erenceschemes for linear hyperbolic equations, conservative </w:t>
      </w:r>
      <w:r w:rsidR="00565188">
        <w:rPr>
          <w:rFonts w:ascii="Arial" w:hAnsi="Arial" w:cs="Arial"/>
          <w:sz w:val="22"/>
          <w:szCs w:val="22"/>
        </w:rPr>
        <w:t>fi</w:t>
      </w:r>
      <w:r w:rsidRPr="0028225A">
        <w:rPr>
          <w:rFonts w:ascii="Arial" w:hAnsi="Arial" w:cs="Arial"/>
          <w:sz w:val="22"/>
          <w:szCs w:val="22"/>
        </w:rPr>
        <w:t>nite di</w:t>
      </w:r>
      <w:r w:rsidR="00565188">
        <w:rPr>
          <w:rFonts w:ascii="Arial" w:hAnsi="Arial" w:cs="Arial"/>
          <w:sz w:val="22"/>
          <w:szCs w:val="22"/>
        </w:rPr>
        <w:t>ff</w:t>
      </w:r>
      <w:r w:rsidRPr="0028225A">
        <w:rPr>
          <w:rFonts w:ascii="Arial" w:hAnsi="Arial" w:cs="Arial"/>
          <w:sz w:val="22"/>
          <w:szCs w:val="22"/>
        </w:rPr>
        <w:t xml:space="preserve">erence schemes, modernshock-capturing schemes, and discontinuous Galerkin </w:t>
      </w:r>
      <w:r w:rsidR="00565188">
        <w:rPr>
          <w:rFonts w:ascii="Arial" w:hAnsi="Arial" w:cs="Arial"/>
          <w:sz w:val="22"/>
          <w:szCs w:val="22"/>
        </w:rPr>
        <w:t>fi</w:t>
      </w:r>
      <w:r w:rsidRPr="0028225A">
        <w:rPr>
          <w:rFonts w:ascii="Arial" w:hAnsi="Arial" w:cs="Arial"/>
          <w:sz w:val="22"/>
          <w:szCs w:val="22"/>
        </w:rPr>
        <w:t>nite element methods for quasilinearhyperbolic conservation laws. It will also discuss the discrete entropy conditions, nonlinearstability, and convergence for conservative numerical methods and some other topics relatedto recent developments on numerical methods for hyperbolic conservation laws. Unfortunately,the breadth and depth of coverage will be limited by the length of the course, and some parts</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lastRenderedPageBreak/>
        <w:t>are rather sketchy.</w:t>
      </w:r>
    </w:p>
    <w:p w:rsidR="0028225A" w:rsidRPr="0028225A" w:rsidRDefault="0028225A" w:rsidP="00565188">
      <w:pPr>
        <w:autoSpaceDE w:val="0"/>
        <w:autoSpaceDN w:val="0"/>
        <w:adjustRightInd w:val="0"/>
        <w:rPr>
          <w:rFonts w:ascii="Arial" w:hAnsi="Arial" w:cs="Arial"/>
          <w:sz w:val="22"/>
          <w:szCs w:val="22"/>
        </w:rPr>
      </w:pPr>
      <w:r>
        <w:rPr>
          <w:rFonts w:ascii="Arial" w:hAnsi="Arial" w:cs="Arial" w:hint="eastAsia"/>
          <w:sz w:val="22"/>
          <w:szCs w:val="22"/>
        </w:rPr>
        <w:t>（</w:t>
      </w:r>
      <w:r>
        <w:rPr>
          <w:rFonts w:ascii="Arial" w:hAnsi="Arial" w:cs="Arial" w:hint="eastAsia"/>
          <w:sz w:val="22"/>
          <w:szCs w:val="22"/>
        </w:rPr>
        <w:t>2</w:t>
      </w:r>
      <w:r>
        <w:rPr>
          <w:rFonts w:ascii="Arial" w:hAnsi="Arial" w:cs="Arial" w:hint="eastAsia"/>
          <w:sz w:val="22"/>
          <w:szCs w:val="22"/>
        </w:rPr>
        <w:t>）目录</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1 Finite di</w:t>
      </w:r>
      <w:r>
        <w:rPr>
          <w:rFonts w:ascii="Arial" w:hAnsi="Arial" w:cs="Arial"/>
          <w:sz w:val="22"/>
          <w:szCs w:val="22"/>
        </w:rPr>
        <w:t>ffe</w:t>
      </w:r>
      <w:r w:rsidRPr="0028225A">
        <w:rPr>
          <w:rFonts w:ascii="Arial" w:hAnsi="Arial" w:cs="Arial"/>
          <w:sz w:val="22"/>
          <w:szCs w:val="22"/>
        </w:rPr>
        <w:t>rence schemes for linear hyperbolic equations.</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 xml:space="preserve">2 Conservative </w:t>
      </w:r>
      <w:r>
        <w:rPr>
          <w:rFonts w:ascii="Arial" w:hAnsi="Arial" w:cs="Arial"/>
          <w:sz w:val="22"/>
          <w:szCs w:val="22"/>
        </w:rPr>
        <w:t>fi</w:t>
      </w:r>
      <w:r w:rsidRPr="0028225A">
        <w:rPr>
          <w:rFonts w:ascii="Arial" w:hAnsi="Arial" w:cs="Arial"/>
          <w:sz w:val="22"/>
          <w:szCs w:val="22"/>
        </w:rPr>
        <w:t>nite di</w:t>
      </w:r>
      <w:r>
        <w:rPr>
          <w:rFonts w:ascii="Arial" w:hAnsi="Arial" w:cs="Arial"/>
          <w:sz w:val="22"/>
          <w:szCs w:val="22"/>
        </w:rPr>
        <w:t>ff</w:t>
      </w:r>
      <w:r w:rsidRPr="0028225A">
        <w:rPr>
          <w:rFonts w:ascii="Arial" w:hAnsi="Arial" w:cs="Arial"/>
          <w:sz w:val="22"/>
          <w:szCs w:val="22"/>
        </w:rPr>
        <w:t>erence schemes in one dimension.</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2.1 De</w:t>
      </w:r>
      <w:r>
        <w:rPr>
          <w:rFonts w:ascii="Arial" w:hAnsi="Arial" w:cs="Arial"/>
          <w:sz w:val="22"/>
          <w:szCs w:val="22"/>
        </w:rPr>
        <w:t>fi</w:t>
      </w:r>
      <w:r w:rsidRPr="0028225A">
        <w:rPr>
          <w:rFonts w:ascii="Arial" w:hAnsi="Arial" w:cs="Arial"/>
          <w:sz w:val="22"/>
          <w:szCs w:val="22"/>
        </w:rPr>
        <w:t xml:space="preserve">nition and properties of conservative </w:t>
      </w:r>
      <w:r>
        <w:rPr>
          <w:rFonts w:ascii="Arial" w:hAnsi="Arial" w:cs="Arial"/>
          <w:sz w:val="22"/>
          <w:szCs w:val="22"/>
        </w:rPr>
        <w:t>fi</w:t>
      </w:r>
      <w:r w:rsidRPr="0028225A">
        <w:rPr>
          <w:rFonts w:ascii="Arial" w:hAnsi="Arial" w:cs="Arial"/>
          <w:sz w:val="22"/>
          <w:szCs w:val="22"/>
        </w:rPr>
        <w:t>nite di</w:t>
      </w:r>
      <w:r>
        <w:rPr>
          <w:rFonts w:ascii="Arial" w:hAnsi="Arial" w:cs="Arial"/>
          <w:sz w:val="22"/>
          <w:szCs w:val="22"/>
        </w:rPr>
        <w:t>ff</w:t>
      </w:r>
      <w:r w:rsidRPr="0028225A">
        <w:rPr>
          <w:rFonts w:ascii="Arial" w:hAnsi="Arial" w:cs="Arial"/>
          <w:sz w:val="22"/>
          <w:szCs w:val="22"/>
        </w:rPr>
        <w:t>erence schemes.</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2.2 Monotone schemes and discrete entropy conditions.</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2.3 Stability and convergence of monotone schemes.</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2.4 Total variation diminishing (TVD) schemes.</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2.5 Essentially non-oscillatory (ENO) schemes and weighted ENO schemes.</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2.6 Extension for systems of conservation laws.</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3 Conservative</w:t>
      </w:r>
      <w:r>
        <w:rPr>
          <w:rFonts w:ascii="Arial" w:hAnsi="Arial" w:cs="Arial"/>
          <w:sz w:val="22"/>
          <w:szCs w:val="22"/>
        </w:rPr>
        <w:t xml:space="preserve"> fi</w:t>
      </w:r>
      <w:r w:rsidRPr="0028225A">
        <w:rPr>
          <w:rFonts w:ascii="Arial" w:hAnsi="Arial" w:cs="Arial"/>
          <w:sz w:val="22"/>
          <w:szCs w:val="22"/>
        </w:rPr>
        <w:t>nite di</w:t>
      </w:r>
      <w:r>
        <w:rPr>
          <w:rFonts w:ascii="Arial" w:hAnsi="Arial" w:cs="Arial"/>
          <w:sz w:val="22"/>
          <w:szCs w:val="22"/>
        </w:rPr>
        <w:t>ff</w:t>
      </w:r>
      <w:r w:rsidRPr="0028225A">
        <w:rPr>
          <w:rFonts w:ascii="Arial" w:hAnsi="Arial" w:cs="Arial"/>
          <w:sz w:val="22"/>
          <w:szCs w:val="22"/>
        </w:rPr>
        <w:t>erence schemes in multi-dimension.</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4 Discontinuous Galerkin methods for hyperbolic conservation laws.</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5 Some advanced topics.</w:t>
      </w:r>
    </w:p>
    <w:p w:rsidR="0028225A" w:rsidRPr="0028225A" w:rsidRDefault="0028225A" w:rsidP="00565188">
      <w:pPr>
        <w:autoSpaceDE w:val="0"/>
        <w:autoSpaceDN w:val="0"/>
        <w:adjustRightInd w:val="0"/>
        <w:rPr>
          <w:rFonts w:ascii="Arial" w:hAnsi="Arial" w:cs="Arial"/>
          <w:sz w:val="22"/>
          <w:szCs w:val="22"/>
        </w:rPr>
      </w:pPr>
      <w:r>
        <w:rPr>
          <w:rFonts w:ascii="Arial" w:hAnsi="Arial" w:cs="Arial" w:hint="eastAsia"/>
          <w:sz w:val="22"/>
          <w:szCs w:val="22"/>
        </w:rPr>
        <w:t>（</w:t>
      </w:r>
      <w:r>
        <w:rPr>
          <w:rFonts w:ascii="Arial" w:hAnsi="Arial" w:cs="Arial" w:hint="eastAsia"/>
          <w:sz w:val="22"/>
          <w:szCs w:val="22"/>
        </w:rPr>
        <w:t>3</w:t>
      </w:r>
      <w:r>
        <w:rPr>
          <w:rFonts w:ascii="Arial" w:hAnsi="Arial" w:cs="Arial" w:hint="eastAsia"/>
          <w:sz w:val="22"/>
          <w:szCs w:val="22"/>
        </w:rPr>
        <w:t>）参考</w:t>
      </w:r>
      <w:r>
        <w:rPr>
          <w:rFonts w:ascii="Arial" w:hAnsi="Arial" w:cs="Arial"/>
          <w:sz w:val="22"/>
          <w:szCs w:val="22"/>
        </w:rPr>
        <w:t>文献</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[1] B. Cockburn and C.-W. Shu, Runge-Kutta discontinuous Galerkin methods for convectiondominatedproblems, J. Sci. Comput., 16(2001), 173-261.</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[2] D. Kroner, Numerical Schemes for Conservation Laws, Wiley, John &amp; Sons, 1997.</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[3] R.J. LeVeque, Numerical Methods for Conservation Laws, 2nd ed., Birkhauser, 1992.</w:t>
      </w:r>
    </w:p>
    <w:p w:rsidR="0028225A" w:rsidRPr="0028225A"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[4] C.-W. Shu, High order weighted essentially nonoscillatory schemes for convection dominatedproblems, SIAM Rev., 51 (2009), 82-126.</w:t>
      </w:r>
    </w:p>
    <w:p w:rsidR="0028225A" w:rsidRPr="00565188" w:rsidRDefault="0028225A" w:rsidP="00565188">
      <w:pPr>
        <w:autoSpaceDE w:val="0"/>
        <w:autoSpaceDN w:val="0"/>
        <w:adjustRightInd w:val="0"/>
        <w:rPr>
          <w:rFonts w:ascii="Arial" w:hAnsi="Arial" w:cs="Arial"/>
          <w:sz w:val="22"/>
          <w:szCs w:val="22"/>
        </w:rPr>
      </w:pPr>
      <w:r w:rsidRPr="0028225A">
        <w:rPr>
          <w:rFonts w:ascii="Arial" w:hAnsi="Arial" w:cs="Arial"/>
          <w:sz w:val="22"/>
          <w:szCs w:val="22"/>
        </w:rPr>
        <w:t>[5] E.F. Toro, Riemann Solvers and Numerical Methods for Fluid Dynamics, A PracticalIntroduction, 3rd ed., Springer, 2009.</w:t>
      </w:r>
    </w:p>
    <w:p w:rsidR="0028225A" w:rsidRPr="00D87D77" w:rsidRDefault="0028225A" w:rsidP="0028225A">
      <w:pPr>
        <w:pStyle w:val="a8"/>
        <w:widowControl/>
        <w:spacing w:line="312" w:lineRule="auto"/>
        <w:ind w:left="885" w:firstLineChars="0" w:firstLine="0"/>
        <w:jc w:val="left"/>
        <w:rPr>
          <w:rFonts w:ascii="宋体" w:hAnsi="宋体"/>
        </w:rPr>
      </w:pPr>
    </w:p>
    <w:p w:rsidR="00CB3657" w:rsidRDefault="00003AE4" w:rsidP="00D865CB">
      <w:pPr>
        <w:spacing w:line="360" w:lineRule="auto"/>
        <w:rPr>
          <w:b/>
          <w:sz w:val="24"/>
        </w:rPr>
      </w:pPr>
      <w:r>
        <w:rPr>
          <w:rFonts w:hint="eastAsia"/>
          <w:b/>
          <w:sz w:val="24"/>
        </w:rPr>
        <w:t>六</w:t>
      </w:r>
      <w:r w:rsidR="00CB3657" w:rsidRPr="003D75DF">
        <w:rPr>
          <w:rFonts w:hint="eastAsia"/>
          <w:b/>
          <w:sz w:val="24"/>
        </w:rPr>
        <w:t>、</w:t>
      </w:r>
      <w:r w:rsidR="00CB3657">
        <w:rPr>
          <w:rFonts w:hint="eastAsia"/>
          <w:b/>
          <w:sz w:val="24"/>
        </w:rPr>
        <w:t>报名方式</w:t>
      </w:r>
    </w:p>
    <w:p w:rsidR="00D87D77" w:rsidRDefault="00941C6F" w:rsidP="00190638">
      <w:pPr>
        <w:spacing w:line="360" w:lineRule="auto"/>
        <w:ind w:firstLineChars="196" w:firstLine="412"/>
        <w:rPr>
          <w:rFonts w:ascii="宋体" w:hAnsi="宋体"/>
        </w:rPr>
      </w:pPr>
      <w:r>
        <w:rPr>
          <w:rFonts w:ascii="宋体" w:hAnsi="宋体" w:hint="eastAsia"/>
        </w:rPr>
        <w:t>外校学员以学校为单位填写下面表格邮件发至</w:t>
      </w:r>
      <w:r w:rsidRPr="00666608">
        <w:rPr>
          <w:rFonts w:ascii="宋体" w:hAnsi="宋体" w:hint="eastAsia"/>
          <w:u w:val="single"/>
        </w:rPr>
        <w:t>xajin@xmu.edu.cn</w:t>
      </w:r>
      <w:r w:rsidR="00D87D77">
        <w:rPr>
          <w:rFonts w:ascii="宋体" w:hAnsi="宋体" w:hint="eastAsia"/>
        </w:rPr>
        <w:t>，非</w:t>
      </w:r>
      <w:r w:rsidR="00D87D77">
        <w:rPr>
          <w:rFonts w:ascii="宋体" w:hAnsi="宋体"/>
        </w:rPr>
        <w:t>拔尖班学生请提供</w:t>
      </w:r>
      <w:r w:rsidR="00D87D77">
        <w:rPr>
          <w:rFonts w:ascii="宋体" w:hAnsi="宋体" w:hint="eastAsia"/>
        </w:rPr>
        <w:t>成绩</w:t>
      </w:r>
      <w:r w:rsidR="00D87D77">
        <w:rPr>
          <w:rFonts w:ascii="宋体" w:hAnsi="宋体"/>
        </w:rPr>
        <w:t>排名证明。</w:t>
      </w:r>
    </w:p>
    <w:p w:rsidR="00CB3657" w:rsidRPr="007F21B7" w:rsidRDefault="00941C6F" w:rsidP="00190638">
      <w:pPr>
        <w:spacing w:line="360" w:lineRule="auto"/>
        <w:ind w:firstLineChars="196" w:firstLine="412"/>
        <w:rPr>
          <w:sz w:val="24"/>
        </w:rPr>
      </w:pPr>
      <w:r>
        <w:rPr>
          <w:rFonts w:hint="eastAsia"/>
        </w:rPr>
        <w:t>报名截止日期：</w:t>
      </w:r>
      <w:r>
        <w:rPr>
          <w:rFonts w:hint="eastAsia"/>
        </w:rPr>
        <w:t>6</w:t>
      </w:r>
      <w:r>
        <w:rPr>
          <w:rFonts w:hint="eastAsia"/>
        </w:rPr>
        <w:t>月</w:t>
      </w:r>
      <w:r>
        <w:rPr>
          <w:rFonts w:hint="eastAsia"/>
        </w:rPr>
        <w:t>15</w:t>
      </w:r>
      <w:r>
        <w:rPr>
          <w:rFonts w:hint="eastAsia"/>
        </w:rPr>
        <w:t>日。</w:t>
      </w:r>
      <w:r w:rsidR="00190638">
        <w:rPr>
          <w:rFonts w:ascii="宋体" w:hAnsi="宋体" w:hint="eastAsia"/>
        </w:rPr>
        <w:t>限额30名，先报名者优先录取，录满为止。</w:t>
      </w:r>
    </w:p>
    <w:p w:rsidR="001D5284" w:rsidRDefault="001D5284" w:rsidP="00941C6F">
      <w:bookmarkStart w:id="0" w:name="OLE_LINK32"/>
      <w:bookmarkStart w:id="1" w:name="OLE_LINK33"/>
    </w:p>
    <w:bookmarkEnd w:id="0"/>
    <w:bookmarkEnd w:id="1"/>
    <w:p w:rsidR="00941C6F" w:rsidRDefault="00941C6F" w:rsidP="00A51948">
      <w:pPr>
        <w:ind w:firstLineChars="200" w:firstLine="420"/>
      </w:pPr>
      <w:r>
        <w:rPr>
          <w:rFonts w:hint="eastAsia"/>
        </w:rPr>
        <w:t>联系人：金贤安教授</w:t>
      </w:r>
    </w:p>
    <w:p w:rsidR="00941C6F" w:rsidRDefault="00941C6F" w:rsidP="00A51948">
      <w:pPr>
        <w:ind w:firstLineChars="200" w:firstLine="420"/>
      </w:pPr>
      <w:r>
        <w:rPr>
          <w:rFonts w:hint="eastAsia"/>
        </w:rPr>
        <w:t>电话：</w:t>
      </w:r>
      <w:r>
        <w:rPr>
          <w:rFonts w:hint="eastAsia"/>
        </w:rPr>
        <w:t>186 0692 2584</w:t>
      </w:r>
    </w:p>
    <w:p w:rsidR="00D87D77" w:rsidRPr="004053AE" w:rsidRDefault="00941C6F" w:rsidP="004053AE">
      <w:pPr>
        <w:ind w:firstLineChars="200" w:firstLine="420"/>
      </w:pPr>
      <w:r>
        <w:rPr>
          <w:rFonts w:hint="eastAsia"/>
        </w:rPr>
        <w:t>电邮：</w:t>
      </w:r>
      <w:hyperlink r:id="rId10" w:history="1">
        <w:r w:rsidRPr="00EE5EEB">
          <w:rPr>
            <w:rStyle w:val="a4"/>
            <w:rFonts w:hint="eastAsia"/>
          </w:rPr>
          <w:t>xajin@xmu.edu.cn</w:t>
        </w:r>
      </w:hyperlink>
    </w:p>
    <w:p w:rsidR="00565188" w:rsidRDefault="00565188" w:rsidP="00DC5E5C">
      <w:pPr>
        <w:spacing w:line="360" w:lineRule="auto"/>
        <w:rPr>
          <w:rFonts w:ascii="宋体" w:hAnsi="宋体"/>
        </w:rPr>
      </w:pPr>
    </w:p>
    <w:tbl>
      <w:tblPr>
        <w:tblpPr w:leftFromText="180" w:rightFromText="180" w:vertAnchor="page" w:horzAnchor="margin" w:tblpY="12894"/>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993"/>
        <w:gridCol w:w="850"/>
        <w:gridCol w:w="851"/>
        <w:gridCol w:w="850"/>
        <w:gridCol w:w="709"/>
        <w:gridCol w:w="850"/>
        <w:gridCol w:w="1318"/>
        <w:gridCol w:w="809"/>
      </w:tblGrid>
      <w:tr w:rsidR="00565188" w:rsidTr="00565188">
        <w:tc>
          <w:tcPr>
            <w:tcW w:w="562" w:type="dxa"/>
            <w:shd w:val="clear" w:color="auto" w:fill="auto"/>
          </w:tcPr>
          <w:p w:rsidR="00565188" w:rsidRDefault="00565188" w:rsidP="00565188">
            <w:bookmarkStart w:id="2" w:name="OLE_LINK9"/>
            <w:bookmarkStart w:id="3" w:name="OLE_LINK10"/>
            <w:r>
              <w:rPr>
                <w:rFonts w:hint="eastAsia"/>
              </w:rPr>
              <w:t>序号</w:t>
            </w:r>
          </w:p>
        </w:tc>
        <w:tc>
          <w:tcPr>
            <w:tcW w:w="993" w:type="dxa"/>
            <w:shd w:val="clear" w:color="auto" w:fill="auto"/>
          </w:tcPr>
          <w:p w:rsidR="00565188" w:rsidRDefault="00565188" w:rsidP="00565188">
            <w:pPr>
              <w:ind w:firstLineChars="100" w:firstLine="210"/>
            </w:pPr>
            <w:r>
              <w:rPr>
                <w:rFonts w:hint="eastAsia"/>
              </w:rPr>
              <w:t>学号</w:t>
            </w:r>
          </w:p>
        </w:tc>
        <w:tc>
          <w:tcPr>
            <w:tcW w:w="850" w:type="dxa"/>
            <w:shd w:val="clear" w:color="auto" w:fill="auto"/>
          </w:tcPr>
          <w:p w:rsidR="00565188" w:rsidRDefault="00565188" w:rsidP="00565188">
            <w:r>
              <w:rPr>
                <w:rFonts w:hint="eastAsia"/>
              </w:rPr>
              <w:t>姓名</w:t>
            </w:r>
          </w:p>
        </w:tc>
        <w:tc>
          <w:tcPr>
            <w:tcW w:w="851" w:type="dxa"/>
            <w:shd w:val="clear" w:color="auto" w:fill="auto"/>
          </w:tcPr>
          <w:p w:rsidR="00565188" w:rsidRDefault="00565188" w:rsidP="00565188">
            <w:r>
              <w:rPr>
                <w:rFonts w:hint="eastAsia"/>
              </w:rPr>
              <w:t>性别</w:t>
            </w:r>
          </w:p>
        </w:tc>
        <w:tc>
          <w:tcPr>
            <w:tcW w:w="850" w:type="dxa"/>
            <w:shd w:val="clear" w:color="auto" w:fill="auto"/>
          </w:tcPr>
          <w:p w:rsidR="00565188" w:rsidRDefault="00565188" w:rsidP="00565188">
            <w:r>
              <w:rPr>
                <w:rFonts w:hint="eastAsia"/>
              </w:rPr>
              <w:t>年级</w:t>
            </w:r>
          </w:p>
        </w:tc>
        <w:tc>
          <w:tcPr>
            <w:tcW w:w="709" w:type="dxa"/>
            <w:shd w:val="clear" w:color="auto" w:fill="auto"/>
          </w:tcPr>
          <w:p w:rsidR="00565188" w:rsidRDefault="00565188" w:rsidP="00565188">
            <w:r>
              <w:rPr>
                <w:rFonts w:hint="eastAsia"/>
              </w:rPr>
              <w:t>邮箱</w:t>
            </w:r>
          </w:p>
        </w:tc>
        <w:tc>
          <w:tcPr>
            <w:tcW w:w="850" w:type="dxa"/>
            <w:shd w:val="clear" w:color="auto" w:fill="auto"/>
          </w:tcPr>
          <w:p w:rsidR="00565188" w:rsidRDefault="00565188" w:rsidP="00565188">
            <w:r>
              <w:rPr>
                <w:rFonts w:hint="eastAsia"/>
              </w:rPr>
              <w:t>手机</w:t>
            </w:r>
          </w:p>
        </w:tc>
        <w:tc>
          <w:tcPr>
            <w:tcW w:w="1318" w:type="dxa"/>
            <w:shd w:val="clear" w:color="auto" w:fill="auto"/>
          </w:tcPr>
          <w:p w:rsidR="00565188" w:rsidRDefault="00565188" w:rsidP="00565188">
            <w:r>
              <w:rPr>
                <w:rFonts w:hint="eastAsia"/>
              </w:rPr>
              <w:t>身份证号</w:t>
            </w:r>
          </w:p>
        </w:tc>
        <w:tc>
          <w:tcPr>
            <w:tcW w:w="809" w:type="dxa"/>
            <w:shd w:val="clear" w:color="auto" w:fill="auto"/>
          </w:tcPr>
          <w:p w:rsidR="00565188" w:rsidRDefault="00565188" w:rsidP="00565188">
            <w:r>
              <w:rPr>
                <w:rFonts w:hint="eastAsia"/>
              </w:rPr>
              <w:t>备注</w:t>
            </w:r>
            <w:r>
              <w:rPr>
                <w:rFonts w:hint="eastAsia"/>
              </w:rPr>
              <w:t>*</w:t>
            </w:r>
          </w:p>
        </w:tc>
      </w:tr>
      <w:tr w:rsidR="00565188" w:rsidTr="00565188">
        <w:trPr>
          <w:trHeight w:val="385"/>
        </w:trPr>
        <w:tc>
          <w:tcPr>
            <w:tcW w:w="562" w:type="dxa"/>
            <w:shd w:val="clear" w:color="auto" w:fill="auto"/>
          </w:tcPr>
          <w:p w:rsidR="00565188" w:rsidRPr="00FE2DFD" w:rsidRDefault="00565188" w:rsidP="00565188">
            <w:pPr>
              <w:rPr>
                <w:color w:val="000000"/>
              </w:rPr>
            </w:pPr>
            <w:r w:rsidRPr="00FE2DFD">
              <w:rPr>
                <w:rFonts w:hint="eastAsia"/>
                <w:color w:val="000000"/>
              </w:rPr>
              <w:t>1</w:t>
            </w:r>
          </w:p>
        </w:tc>
        <w:tc>
          <w:tcPr>
            <w:tcW w:w="993" w:type="dxa"/>
            <w:shd w:val="clear" w:color="auto" w:fill="auto"/>
          </w:tcPr>
          <w:p w:rsidR="00565188" w:rsidRDefault="00565188" w:rsidP="00565188"/>
        </w:tc>
        <w:tc>
          <w:tcPr>
            <w:tcW w:w="850" w:type="dxa"/>
            <w:shd w:val="clear" w:color="auto" w:fill="auto"/>
          </w:tcPr>
          <w:p w:rsidR="00565188" w:rsidRDefault="00565188" w:rsidP="00565188"/>
        </w:tc>
        <w:tc>
          <w:tcPr>
            <w:tcW w:w="851" w:type="dxa"/>
            <w:shd w:val="clear" w:color="auto" w:fill="auto"/>
          </w:tcPr>
          <w:p w:rsidR="00565188" w:rsidRDefault="00565188" w:rsidP="00565188"/>
        </w:tc>
        <w:tc>
          <w:tcPr>
            <w:tcW w:w="850" w:type="dxa"/>
            <w:shd w:val="clear" w:color="auto" w:fill="auto"/>
          </w:tcPr>
          <w:p w:rsidR="00565188" w:rsidRDefault="00565188" w:rsidP="00565188"/>
        </w:tc>
        <w:tc>
          <w:tcPr>
            <w:tcW w:w="709" w:type="dxa"/>
            <w:shd w:val="clear" w:color="auto" w:fill="auto"/>
          </w:tcPr>
          <w:p w:rsidR="00565188" w:rsidRDefault="00565188" w:rsidP="00565188"/>
        </w:tc>
        <w:tc>
          <w:tcPr>
            <w:tcW w:w="850" w:type="dxa"/>
            <w:shd w:val="clear" w:color="auto" w:fill="auto"/>
          </w:tcPr>
          <w:p w:rsidR="00565188" w:rsidRDefault="00565188" w:rsidP="00565188"/>
        </w:tc>
        <w:tc>
          <w:tcPr>
            <w:tcW w:w="1318" w:type="dxa"/>
            <w:shd w:val="clear" w:color="auto" w:fill="auto"/>
          </w:tcPr>
          <w:p w:rsidR="00565188" w:rsidRDefault="00565188" w:rsidP="00565188"/>
        </w:tc>
        <w:tc>
          <w:tcPr>
            <w:tcW w:w="809" w:type="dxa"/>
            <w:shd w:val="clear" w:color="auto" w:fill="auto"/>
          </w:tcPr>
          <w:p w:rsidR="00565188" w:rsidRDefault="00565188" w:rsidP="00565188"/>
        </w:tc>
      </w:tr>
      <w:tr w:rsidR="00565188" w:rsidTr="00565188">
        <w:trPr>
          <w:trHeight w:val="440"/>
        </w:trPr>
        <w:tc>
          <w:tcPr>
            <w:tcW w:w="562" w:type="dxa"/>
            <w:shd w:val="clear" w:color="auto" w:fill="auto"/>
          </w:tcPr>
          <w:p w:rsidR="00565188" w:rsidRPr="00FE2DFD" w:rsidRDefault="00565188" w:rsidP="00565188">
            <w:pPr>
              <w:rPr>
                <w:color w:val="000000"/>
              </w:rPr>
            </w:pPr>
            <w:r w:rsidRPr="00FE2DFD">
              <w:rPr>
                <w:rFonts w:hint="eastAsia"/>
                <w:color w:val="000000"/>
              </w:rPr>
              <w:t>2</w:t>
            </w:r>
          </w:p>
        </w:tc>
        <w:tc>
          <w:tcPr>
            <w:tcW w:w="993" w:type="dxa"/>
            <w:shd w:val="clear" w:color="auto" w:fill="auto"/>
          </w:tcPr>
          <w:p w:rsidR="00565188" w:rsidRDefault="00565188" w:rsidP="00565188"/>
        </w:tc>
        <w:tc>
          <w:tcPr>
            <w:tcW w:w="850" w:type="dxa"/>
            <w:shd w:val="clear" w:color="auto" w:fill="auto"/>
          </w:tcPr>
          <w:p w:rsidR="00565188" w:rsidRDefault="00565188" w:rsidP="00565188"/>
        </w:tc>
        <w:tc>
          <w:tcPr>
            <w:tcW w:w="851" w:type="dxa"/>
            <w:shd w:val="clear" w:color="auto" w:fill="auto"/>
          </w:tcPr>
          <w:p w:rsidR="00565188" w:rsidRDefault="00565188" w:rsidP="00565188"/>
        </w:tc>
        <w:tc>
          <w:tcPr>
            <w:tcW w:w="850" w:type="dxa"/>
            <w:shd w:val="clear" w:color="auto" w:fill="auto"/>
          </w:tcPr>
          <w:p w:rsidR="00565188" w:rsidRDefault="00565188" w:rsidP="00565188"/>
        </w:tc>
        <w:tc>
          <w:tcPr>
            <w:tcW w:w="709" w:type="dxa"/>
            <w:shd w:val="clear" w:color="auto" w:fill="auto"/>
          </w:tcPr>
          <w:p w:rsidR="00565188" w:rsidRDefault="00565188" w:rsidP="00565188"/>
        </w:tc>
        <w:tc>
          <w:tcPr>
            <w:tcW w:w="850" w:type="dxa"/>
            <w:shd w:val="clear" w:color="auto" w:fill="auto"/>
          </w:tcPr>
          <w:p w:rsidR="00565188" w:rsidRDefault="00565188" w:rsidP="00565188"/>
        </w:tc>
        <w:tc>
          <w:tcPr>
            <w:tcW w:w="1318" w:type="dxa"/>
            <w:shd w:val="clear" w:color="auto" w:fill="auto"/>
          </w:tcPr>
          <w:p w:rsidR="00565188" w:rsidRDefault="00565188" w:rsidP="00565188"/>
        </w:tc>
        <w:tc>
          <w:tcPr>
            <w:tcW w:w="809" w:type="dxa"/>
            <w:shd w:val="clear" w:color="auto" w:fill="auto"/>
          </w:tcPr>
          <w:p w:rsidR="00565188" w:rsidRDefault="00565188" w:rsidP="00565188"/>
        </w:tc>
      </w:tr>
      <w:tr w:rsidR="00565188" w:rsidTr="00565188">
        <w:trPr>
          <w:trHeight w:val="384"/>
        </w:trPr>
        <w:tc>
          <w:tcPr>
            <w:tcW w:w="562" w:type="dxa"/>
            <w:shd w:val="clear" w:color="auto" w:fill="auto"/>
          </w:tcPr>
          <w:p w:rsidR="00565188" w:rsidRDefault="00565188" w:rsidP="00565188">
            <w:r>
              <w:rPr>
                <w:rFonts w:hint="eastAsia"/>
              </w:rPr>
              <w:t>3</w:t>
            </w:r>
          </w:p>
        </w:tc>
        <w:tc>
          <w:tcPr>
            <w:tcW w:w="993" w:type="dxa"/>
            <w:shd w:val="clear" w:color="auto" w:fill="auto"/>
          </w:tcPr>
          <w:p w:rsidR="00565188" w:rsidRPr="00FE2DFD" w:rsidRDefault="00565188" w:rsidP="00565188">
            <w:pPr>
              <w:rPr>
                <w:color w:val="000000"/>
              </w:rPr>
            </w:pPr>
          </w:p>
        </w:tc>
        <w:tc>
          <w:tcPr>
            <w:tcW w:w="850" w:type="dxa"/>
            <w:shd w:val="clear" w:color="auto" w:fill="auto"/>
          </w:tcPr>
          <w:p w:rsidR="00565188" w:rsidRPr="00FE2DFD" w:rsidRDefault="00565188" w:rsidP="00565188">
            <w:pPr>
              <w:rPr>
                <w:color w:val="000000"/>
              </w:rPr>
            </w:pPr>
          </w:p>
        </w:tc>
        <w:tc>
          <w:tcPr>
            <w:tcW w:w="851" w:type="dxa"/>
            <w:shd w:val="clear" w:color="auto" w:fill="auto"/>
          </w:tcPr>
          <w:p w:rsidR="00565188" w:rsidRPr="00FE2DFD" w:rsidRDefault="00565188" w:rsidP="00565188">
            <w:pPr>
              <w:rPr>
                <w:color w:val="000000"/>
              </w:rPr>
            </w:pPr>
          </w:p>
        </w:tc>
        <w:tc>
          <w:tcPr>
            <w:tcW w:w="850" w:type="dxa"/>
            <w:shd w:val="clear" w:color="auto" w:fill="auto"/>
          </w:tcPr>
          <w:p w:rsidR="00565188" w:rsidRDefault="00565188" w:rsidP="00565188"/>
        </w:tc>
        <w:tc>
          <w:tcPr>
            <w:tcW w:w="709" w:type="dxa"/>
            <w:shd w:val="clear" w:color="auto" w:fill="auto"/>
          </w:tcPr>
          <w:p w:rsidR="00565188" w:rsidRDefault="00565188" w:rsidP="00565188"/>
        </w:tc>
        <w:tc>
          <w:tcPr>
            <w:tcW w:w="850" w:type="dxa"/>
            <w:shd w:val="clear" w:color="auto" w:fill="auto"/>
          </w:tcPr>
          <w:p w:rsidR="00565188" w:rsidRDefault="00565188" w:rsidP="00565188"/>
        </w:tc>
        <w:tc>
          <w:tcPr>
            <w:tcW w:w="1318" w:type="dxa"/>
            <w:shd w:val="clear" w:color="auto" w:fill="auto"/>
          </w:tcPr>
          <w:p w:rsidR="00565188" w:rsidRDefault="00565188" w:rsidP="00565188"/>
        </w:tc>
        <w:tc>
          <w:tcPr>
            <w:tcW w:w="809" w:type="dxa"/>
            <w:shd w:val="clear" w:color="auto" w:fill="auto"/>
          </w:tcPr>
          <w:p w:rsidR="00565188" w:rsidRDefault="00565188" w:rsidP="00565188"/>
        </w:tc>
      </w:tr>
    </w:tbl>
    <w:p w:rsidR="0078382E" w:rsidRDefault="0078382E" w:rsidP="00DC5E5C">
      <w:pPr>
        <w:spacing w:line="360" w:lineRule="auto"/>
        <w:rPr>
          <w:rFonts w:ascii="宋体" w:hAnsi="宋体" w:hint="eastAsia"/>
        </w:rPr>
      </w:pPr>
      <w:bookmarkStart w:id="4" w:name="_GoBack"/>
      <w:bookmarkEnd w:id="2"/>
      <w:bookmarkEnd w:id="3"/>
      <w:bookmarkEnd w:id="4"/>
    </w:p>
    <w:p w:rsidR="0078382E" w:rsidRDefault="0078382E" w:rsidP="00DC5E5C">
      <w:pPr>
        <w:spacing w:line="360" w:lineRule="auto"/>
        <w:rPr>
          <w:rFonts w:ascii="宋体" w:hAnsi="宋体" w:hint="eastAsia"/>
        </w:rPr>
      </w:pPr>
    </w:p>
    <w:p w:rsidR="0078382E" w:rsidRDefault="0078382E" w:rsidP="00DC5E5C">
      <w:pPr>
        <w:spacing w:line="360" w:lineRule="auto"/>
        <w:rPr>
          <w:rFonts w:ascii="宋体" w:hAnsi="宋体" w:hint="eastAsia"/>
        </w:rPr>
      </w:pPr>
    </w:p>
    <w:p w:rsidR="0078382E" w:rsidRDefault="0078382E" w:rsidP="00DC5E5C">
      <w:pPr>
        <w:spacing w:line="360" w:lineRule="auto"/>
        <w:rPr>
          <w:rFonts w:ascii="宋体" w:hAnsi="宋体" w:hint="eastAsia"/>
        </w:rPr>
      </w:pPr>
    </w:p>
    <w:p w:rsidR="0078382E" w:rsidRDefault="0078382E" w:rsidP="00DC5E5C">
      <w:pPr>
        <w:spacing w:line="360" w:lineRule="auto"/>
        <w:rPr>
          <w:rFonts w:ascii="宋体" w:hAnsi="宋体" w:hint="eastAsia"/>
        </w:rPr>
      </w:pPr>
    </w:p>
    <w:p w:rsidR="00DC5E5C" w:rsidRPr="00DC5E5C" w:rsidRDefault="00DC5E5C" w:rsidP="00DC5E5C">
      <w:pPr>
        <w:spacing w:line="360" w:lineRule="auto"/>
        <w:rPr>
          <w:rFonts w:ascii="宋体" w:hAnsi="宋体"/>
        </w:rPr>
      </w:pPr>
      <w:r w:rsidRPr="00DC5E5C">
        <w:rPr>
          <w:rFonts w:ascii="宋体" w:hAnsi="宋体" w:hint="eastAsia"/>
        </w:rPr>
        <w:t>*备注栏填</w:t>
      </w:r>
      <w:r w:rsidRPr="00DC5E5C">
        <w:rPr>
          <w:rFonts w:ascii="宋体" w:hAnsi="宋体"/>
        </w:rPr>
        <w:t>是否拔尖班学生。</w:t>
      </w:r>
    </w:p>
    <w:p w:rsidR="00D87D77" w:rsidRPr="00DC5E5C" w:rsidRDefault="00D87D77" w:rsidP="00D865CB">
      <w:pPr>
        <w:spacing w:line="360" w:lineRule="auto"/>
        <w:rPr>
          <w:b/>
          <w:sz w:val="24"/>
        </w:rPr>
      </w:pPr>
    </w:p>
    <w:p w:rsidR="00CB3657" w:rsidRPr="003E6322" w:rsidRDefault="00003AE4" w:rsidP="00D865CB">
      <w:pPr>
        <w:spacing w:line="360" w:lineRule="auto"/>
        <w:rPr>
          <w:b/>
          <w:sz w:val="24"/>
        </w:rPr>
      </w:pPr>
      <w:r>
        <w:rPr>
          <w:rFonts w:hint="eastAsia"/>
          <w:b/>
          <w:sz w:val="24"/>
        </w:rPr>
        <w:t>七</w:t>
      </w:r>
      <w:r w:rsidR="00CB3657" w:rsidRPr="003E6322">
        <w:rPr>
          <w:rFonts w:hint="eastAsia"/>
          <w:b/>
          <w:sz w:val="24"/>
        </w:rPr>
        <w:t>、注意事项</w:t>
      </w:r>
    </w:p>
    <w:p w:rsidR="00CB3657" w:rsidRPr="00003AE4" w:rsidRDefault="00CB3657" w:rsidP="00003AE4">
      <w:pPr>
        <w:spacing w:line="360" w:lineRule="auto"/>
        <w:ind w:firstLineChars="196" w:firstLine="412"/>
        <w:rPr>
          <w:rFonts w:ascii="宋体" w:hAnsi="宋体"/>
        </w:rPr>
      </w:pPr>
      <w:r w:rsidRPr="00003AE4">
        <w:rPr>
          <w:rFonts w:ascii="宋体" w:hAnsi="宋体" w:hint="eastAsia"/>
        </w:rPr>
        <w:t>学员</w:t>
      </w:r>
      <w:r w:rsidR="00D87D77">
        <w:rPr>
          <w:rFonts w:ascii="宋体" w:hAnsi="宋体" w:hint="eastAsia"/>
        </w:rPr>
        <w:t>在</w:t>
      </w:r>
      <w:r w:rsidR="00D87D77">
        <w:rPr>
          <w:rFonts w:ascii="宋体" w:hAnsi="宋体"/>
        </w:rPr>
        <w:t>暑期学校</w:t>
      </w:r>
      <w:r w:rsidRPr="00003AE4">
        <w:rPr>
          <w:rFonts w:ascii="宋体" w:hAnsi="宋体" w:hint="eastAsia"/>
        </w:rPr>
        <w:t>学习期间必须遵守</w:t>
      </w:r>
      <w:r w:rsidR="00DC5E5C">
        <w:rPr>
          <w:rFonts w:ascii="宋体" w:hAnsi="宋体" w:hint="eastAsia"/>
        </w:rPr>
        <w:t>有关规章制度和暑期学校的规定</w:t>
      </w:r>
      <w:r w:rsidRPr="00003AE4">
        <w:rPr>
          <w:rFonts w:ascii="宋体" w:hAnsi="宋体" w:hint="eastAsia"/>
        </w:rPr>
        <w:t>。学员在学习期间如发生医疗费用及个人行为导致的意外事故，由学员本人及其派出单位承担</w:t>
      </w:r>
      <w:r w:rsidR="00805299">
        <w:rPr>
          <w:rFonts w:ascii="宋体" w:hAnsi="宋体" w:hint="eastAsia"/>
        </w:rPr>
        <w:t>责任</w:t>
      </w:r>
      <w:r w:rsidRPr="00003AE4">
        <w:rPr>
          <w:rFonts w:ascii="宋体" w:hAnsi="宋体" w:hint="eastAsia"/>
        </w:rPr>
        <w:t>。</w:t>
      </w:r>
    </w:p>
    <w:sectPr w:rsidR="00CB3657" w:rsidRPr="00003AE4" w:rsidSect="0006604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E59" w:rsidRDefault="005B2E59" w:rsidP="00190638">
      <w:r>
        <w:separator/>
      </w:r>
    </w:p>
  </w:endnote>
  <w:endnote w:type="continuationSeparator" w:id="1">
    <w:p w:rsidR="005B2E59" w:rsidRDefault="005B2E59" w:rsidP="001906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E59" w:rsidRDefault="005B2E59" w:rsidP="00190638">
      <w:r>
        <w:separator/>
      </w:r>
    </w:p>
  </w:footnote>
  <w:footnote w:type="continuationSeparator" w:id="1">
    <w:p w:rsidR="005B2E59" w:rsidRDefault="005B2E59" w:rsidP="001906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bullet"/>
      <w:lvlText w:val=""/>
      <w:lvlJc w:val="left"/>
      <w:pPr>
        <w:tabs>
          <w:tab w:val="num" w:pos="630"/>
        </w:tabs>
        <w:ind w:left="630" w:hanging="420"/>
      </w:pPr>
      <w:rPr>
        <w:rFonts w:ascii="Wingdings" w:hAnsi="Wingdings" w:hint="default"/>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
    <w:nsid w:val="0000000E"/>
    <w:multiLevelType w:val="multilevel"/>
    <w:tmpl w:val="0000000E"/>
    <w:lvl w:ilvl="0">
      <w:start w:val="1"/>
      <w:numFmt w:val="bullet"/>
      <w:lvlText w:val=""/>
      <w:lvlJc w:val="left"/>
      <w:pPr>
        <w:tabs>
          <w:tab w:val="num" w:pos="630"/>
        </w:tabs>
        <w:ind w:left="630" w:hanging="420"/>
      </w:pPr>
      <w:rPr>
        <w:rFonts w:ascii="Wingdings" w:hAnsi="Wingdings" w:hint="default"/>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
    <w:nsid w:val="0000000F"/>
    <w:multiLevelType w:val="multilevel"/>
    <w:tmpl w:val="0000000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11"/>
    <w:multiLevelType w:val="multilevel"/>
    <w:tmpl w:val="00000011"/>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
    <w:nsid w:val="00000014"/>
    <w:multiLevelType w:val="multilevel"/>
    <w:tmpl w:val="00000014"/>
    <w:lvl w:ilvl="0">
      <w:start w:val="1"/>
      <w:numFmt w:val="bullet"/>
      <w:lvlText w:val=""/>
      <w:lvlJc w:val="left"/>
      <w:pPr>
        <w:tabs>
          <w:tab w:val="num" w:pos="630"/>
        </w:tabs>
        <w:ind w:left="630" w:hanging="420"/>
      </w:pPr>
      <w:rPr>
        <w:rFonts w:ascii="Wingdings" w:hAnsi="Wingdings" w:hint="default"/>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5">
    <w:nsid w:val="00000015"/>
    <w:multiLevelType w:val="multilevel"/>
    <w:tmpl w:val="00000015"/>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nsid w:val="00000016"/>
    <w:multiLevelType w:val="multilevel"/>
    <w:tmpl w:val="00000016"/>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
    <w:nsid w:val="0E6F6F45"/>
    <w:multiLevelType w:val="hybridMultilevel"/>
    <w:tmpl w:val="045A4F26"/>
    <w:lvl w:ilvl="0" w:tplc="CE202E0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8">
    <w:nsid w:val="272158D3"/>
    <w:multiLevelType w:val="hybridMultilevel"/>
    <w:tmpl w:val="A3B041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30E55DF"/>
    <w:multiLevelType w:val="hybridMultilevel"/>
    <w:tmpl w:val="2A08F48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47F37BF"/>
    <w:multiLevelType w:val="hybridMultilevel"/>
    <w:tmpl w:val="B508A1FA"/>
    <w:lvl w:ilvl="0" w:tplc="E436A552">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1">
    <w:nsid w:val="363261FA"/>
    <w:multiLevelType w:val="hybridMultilevel"/>
    <w:tmpl w:val="AE5EE630"/>
    <w:lvl w:ilvl="0" w:tplc="4588E88A">
      <w:start w:val="1"/>
      <w:numFmt w:val="decimal"/>
      <w:lvlText w:val="%1."/>
      <w:lvlJc w:val="left"/>
      <w:pPr>
        <w:ind w:left="1515" w:hanging="360"/>
      </w:pPr>
      <w:rPr>
        <w:rFonts w:hint="default"/>
      </w:rPr>
    </w:lvl>
    <w:lvl w:ilvl="1" w:tplc="04090019" w:tentative="1">
      <w:start w:val="1"/>
      <w:numFmt w:val="lowerLetter"/>
      <w:lvlText w:val="%2)"/>
      <w:lvlJc w:val="left"/>
      <w:pPr>
        <w:ind w:left="1995" w:hanging="420"/>
      </w:p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abstractNum w:abstractNumId="12">
    <w:nsid w:val="3863667A"/>
    <w:multiLevelType w:val="hybridMultilevel"/>
    <w:tmpl w:val="6C14D29E"/>
    <w:lvl w:ilvl="0" w:tplc="C58288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EEF0F4A"/>
    <w:multiLevelType w:val="hybridMultilevel"/>
    <w:tmpl w:val="19D8F2C4"/>
    <w:lvl w:ilvl="0" w:tplc="D7789CF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4F5F06"/>
    <w:multiLevelType w:val="hybridMultilevel"/>
    <w:tmpl w:val="EE12AD74"/>
    <w:lvl w:ilvl="0" w:tplc="081EE2DE">
      <w:start w:val="1"/>
      <w:numFmt w:val="japaneseCounting"/>
      <w:lvlText w:val="%1、"/>
      <w:lvlJc w:val="left"/>
      <w:pPr>
        <w:tabs>
          <w:tab w:val="num" w:pos="480"/>
        </w:tabs>
        <w:ind w:left="480" w:hanging="4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77FE2A2B"/>
    <w:multiLevelType w:val="hybridMultilevel"/>
    <w:tmpl w:val="FFEA61B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 w:numId="8">
    <w:abstractNumId w:val="15"/>
  </w:num>
  <w:num w:numId="9">
    <w:abstractNumId w:val="8"/>
  </w:num>
  <w:num w:numId="10">
    <w:abstractNumId w:val="9"/>
  </w:num>
  <w:num w:numId="11">
    <w:abstractNumId w:val="14"/>
  </w:num>
  <w:num w:numId="12">
    <w:abstractNumId w:val="13"/>
  </w:num>
  <w:num w:numId="13">
    <w:abstractNumId w:val="11"/>
  </w:num>
  <w:num w:numId="14">
    <w:abstractNumId w:val="10"/>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AE4"/>
    <w:rsid w:val="0003276C"/>
    <w:rsid w:val="00043CCE"/>
    <w:rsid w:val="0006604F"/>
    <w:rsid w:val="00082730"/>
    <w:rsid w:val="000B50E1"/>
    <w:rsid w:val="000C362D"/>
    <w:rsid w:val="00117FA6"/>
    <w:rsid w:val="00135909"/>
    <w:rsid w:val="001474F9"/>
    <w:rsid w:val="00155394"/>
    <w:rsid w:val="0016678D"/>
    <w:rsid w:val="00172A27"/>
    <w:rsid w:val="00175640"/>
    <w:rsid w:val="00190638"/>
    <w:rsid w:val="001A2D6B"/>
    <w:rsid w:val="001D5284"/>
    <w:rsid w:val="00226494"/>
    <w:rsid w:val="00243A0E"/>
    <w:rsid w:val="00260419"/>
    <w:rsid w:val="00262DDB"/>
    <w:rsid w:val="002754E3"/>
    <w:rsid w:val="0028225A"/>
    <w:rsid w:val="00321BE4"/>
    <w:rsid w:val="00341827"/>
    <w:rsid w:val="003824FC"/>
    <w:rsid w:val="00393226"/>
    <w:rsid w:val="003D75DF"/>
    <w:rsid w:val="003E6322"/>
    <w:rsid w:val="003F2DB6"/>
    <w:rsid w:val="004053AE"/>
    <w:rsid w:val="0041713F"/>
    <w:rsid w:val="0045636E"/>
    <w:rsid w:val="004563C8"/>
    <w:rsid w:val="004C4622"/>
    <w:rsid w:val="00541D73"/>
    <w:rsid w:val="00565188"/>
    <w:rsid w:val="005760C0"/>
    <w:rsid w:val="005B2E59"/>
    <w:rsid w:val="00625567"/>
    <w:rsid w:val="00666608"/>
    <w:rsid w:val="00687B77"/>
    <w:rsid w:val="006D3F4B"/>
    <w:rsid w:val="006F1EA7"/>
    <w:rsid w:val="00774285"/>
    <w:rsid w:val="0078221D"/>
    <w:rsid w:val="0078382E"/>
    <w:rsid w:val="007F21B7"/>
    <w:rsid w:val="00805299"/>
    <w:rsid w:val="00866B0C"/>
    <w:rsid w:val="008B6203"/>
    <w:rsid w:val="008E50A5"/>
    <w:rsid w:val="00941C6F"/>
    <w:rsid w:val="00963B7D"/>
    <w:rsid w:val="00992056"/>
    <w:rsid w:val="009F560A"/>
    <w:rsid w:val="00A068FC"/>
    <w:rsid w:val="00A51948"/>
    <w:rsid w:val="00B332AB"/>
    <w:rsid w:val="00B334DE"/>
    <w:rsid w:val="00BC1167"/>
    <w:rsid w:val="00BD14DF"/>
    <w:rsid w:val="00C164B1"/>
    <w:rsid w:val="00C42FE0"/>
    <w:rsid w:val="00C8683D"/>
    <w:rsid w:val="00CB3657"/>
    <w:rsid w:val="00CE60F1"/>
    <w:rsid w:val="00CF6A71"/>
    <w:rsid w:val="00D007C0"/>
    <w:rsid w:val="00D50606"/>
    <w:rsid w:val="00D53F60"/>
    <w:rsid w:val="00D865CB"/>
    <w:rsid w:val="00D87D77"/>
    <w:rsid w:val="00DB35F7"/>
    <w:rsid w:val="00DB70D5"/>
    <w:rsid w:val="00DC03C1"/>
    <w:rsid w:val="00DC5E5C"/>
    <w:rsid w:val="00DD7E25"/>
    <w:rsid w:val="00E121C6"/>
    <w:rsid w:val="00E325CF"/>
    <w:rsid w:val="00E42F65"/>
    <w:rsid w:val="00E64B9D"/>
    <w:rsid w:val="00E72112"/>
    <w:rsid w:val="00E74C64"/>
    <w:rsid w:val="00EA0957"/>
    <w:rsid w:val="00EB1243"/>
    <w:rsid w:val="00EF36D9"/>
    <w:rsid w:val="00F36770"/>
    <w:rsid w:val="00F43D10"/>
    <w:rsid w:val="00F83F76"/>
    <w:rsid w:val="00FD7F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04F"/>
    <w:pPr>
      <w:widowControl w:val="0"/>
      <w:jc w:val="both"/>
    </w:pPr>
    <w:rPr>
      <w:kern w:val="2"/>
      <w:sz w:val="21"/>
      <w:szCs w:val="24"/>
    </w:rPr>
  </w:style>
  <w:style w:type="paragraph" w:styleId="1">
    <w:name w:val="heading 1"/>
    <w:basedOn w:val="a"/>
    <w:link w:val="1Char"/>
    <w:uiPriority w:val="99"/>
    <w:qFormat/>
    <w:rsid w:val="0006604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164B1"/>
    <w:rPr>
      <w:rFonts w:cs="Times New Roman"/>
      <w:b/>
      <w:bCs/>
      <w:kern w:val="44"/>
      <w:sz w:val="44"/>
      <w:szCs w:val="44"/>
    </w:rPr>
  </w:style>
  <w:style w:type="character" w:styleId="a3">
    <w:name w:val="Strong"/>
    <w:uiPriority w:val="99"/>
    <w:qFormat/>
    <w:rsid w:val="0006604F"/>
    <w:rPr>
      <w:rFonts w:cs="Times New Roman"/>
      <w:b/>
      <w:bCs/>
    </w:rPr>
  </w:style>
  <w:style w:type="character" w:styleId="a4">
    <w:name w:val="Hyperlink"/>
    <w:uiPriority w:val="99"/>
    <w:rsid w:val="0006604F"/>
    <w:rPr>
      <w:rFonts w:cs="Times New Roman"/>
      <w:color w:val="0000FF"/>
      <w:u w:val="single"/>
    </w:rPr>
  </w:style>
  <w:style w:type="paragraph" w:styleId="a5">
    <w:name w:val="header"/>
    <w:basedOn w:val="a"/>
    <w:link w:val="Char"/>
    <w:uiPriority w:val="99"/>
    <w:unhideWhenUsed/>
    <w:rsid w:val="0019063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190638"/>
    <w:rPr>
      <w:sz w:val="18"/>
      <w:szCs w:val="18"/>
    </w:rPr>
  </w:style>
  <w:style w:type="paragraph" w:styleId="a6">
    <w:name w:val="footer"/>
    <w:basedOn w:val="a"/>
    <w:link w:val="Char0"/>
    <w:uiPriority w:val="99"/>
    <w:unhideWhenUsed/>
    <w:rsid w:val="00190638"/>
    <w:pPr>
      <w:tabs>
        <w:tab w:val="center" w:pos="4153"/>
        <w:tab w:val="right" w:pos="8306"/>
      </w:tabs>
      <w:snapToGrid w:val="0"/>
      <w:jc w:val="left"/>
    </w:pPr>
    <w:rPr>
      <w:sz w:val="18"/>
      <w:szCs w:val="18"/>
    </w:rPr>
  </w:style>
  <w:style w:type="character" w:customStyle="1" w:styleId="Char0">
    <w:name w:val="页脚 Char"/>
    <w:link w:val="a6"/>
    <w:uiPriority w:val="99"/>
    <w:rsid w:val="00190638"/>
    <w:rPr>
      <w:sz w:val="18"/>
      <w:szCs w:val="18"/>
    </w:rPr>
  </w:style>
  <w:style w:type="paragraph" w:styleId="a7">
    <w:name w:val="Balloon Text"/>
    <w:basedOn w:val="a"/>
    <w:link w:val="Char1"/>
    <w:uiPriority w:val="99"/>
    <w:semiHidden/>
    <w:unhideWhenUsed/>
    <w:rsid w:val="001A2D6B"/>
    <w:rPr>
      <w:sz w:val="18"/>
      <w:szCs w:val="18"/>
    </w:rPr>
  </w:style>
  <w:style w:type="character" w:customStyle="1" w:styleId="Char1">
    <w:name w:val="批注框文本 Char"/>
    <w:link w:val="a7"/>
    <w:uiPriority w:val="99"/>
    <w:semiHidden/>
    <w:rsid w:val="001A2D6B"/>
    <w:rPr>
      <w:sz w:val="18"/>
      <w:szCs w:val="18"/>
    </w:rPr>
  </w:style>
  <w:style w:type="paragraph" w:styleId="a8">
    <w:name w:val="List Paragraph"/>
    <w:basedOn w:val="a"/>
    <w:uiPriority w:val="34"/>
    <w:qFormat/>
    <w:rsid w:val="004C4622"/>
    <w:pPr>
      <w:ind w:firstLineChars="200" w:firstLine="420"/>
    </w:pPr>
  </w:style>
  <w:style w:type="paragraph" w:customStyle="1" w:styleId="Default">
    <w:name w:val="Default"/>
    <w:rsid w:val="0028225A"/>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96431586">
      <w:bodyDiv w:val="1"/>
      <w:marLeft w:val="0"/>
      <w:marRight w:val="0"/>
      <w:marTop w:val="0"/>
      <w:marBottom w:val="0"/>
      <w:divBdr>
        <w:top w:val="none" w:sz="0" w:space="0" w:color="auto"/>
        <w:left w:val="none" w:sz="0" w:space="0" w:color="auto"/>
        <w:bottom w:val="none" w:sz="0" w:space="0" w:color="auto"/>
        <w:right w:val="none" w:sz="0" w:space="0" w:color="auto"/>
      </w:divBdr>
    </w:div>
    <w:div w:id="1100638424">
      <w:bodyDiv w:val="1"/>
      <w:marLeft w:val="0"/>
      <w:marRight w:val="0"/>
      <w:marTop w:val="0"/>
      <w:marBottom w:val="0"/>
      <w:divBdr>
        <w:top w:val="none" w:sz="0" w:space="0" w:color="auto"/>
        <w:left w:val="none" w:sz="0" w:space="0" w:color="auto"/>
        <w:bottom w:val="none" w:sz="0" w:space="0" w:color="auto"/>
        <w:right w:val="none" w:sz="0" w:space="0" w:color="auto"/>
      </w:divBdr>
    </w:div>
    <w:div w:id="1695615156">
      <w:marLeft w:val="0"/>
      <w:marRight w:val="0"/>
      <w:marTop w:val="0"/>
      <w:marBottom w:val="0"/>
      <w:divBdr>
        <w:top w:val="none" w:sz="0" w:space="0" w:color="auto"/>
        <w:left w:val="none" w:sz="0" w:space="0" w:color="auto"/>
        <w:bottom w:val="none" w:sz="0" w:space="0" w:color="auto"/>
        <w:right w:val="none" w:sz="0" w:space="0" w:color="auto"/>
      </w:divBdr>
      <w:divsChild>
        <w:div w:id="1695615155">
          <w:marLeft w:val="0"/>
          <w:marRight w:val="0"/>
          <w:marTop w:val="0"/>
          <w:marBottom w:val="0"/>
          <w:divBdr>
            <w:top w:val="none" w:sz="0" w:space="0" w:color="auto"/>
            <w:left w:val="none" w:sz="0" w:space="0" w:color="auto"/>
            <w:bottom w:val="none" w:sz="0" w:space="0" w:color="auto"/>
            <w:right w:val="none" w:sz="0" w:space="0" w:color="auto"/>
          </w:divBdr>
        </w:div>
      </w:divsChild>
    </w:div>
    <w:div w:id="1695615157">
      <w:marLeft w:val="0"/>
      <w:marRight w:val="0"/>
      <w:marTop w:val="0"/>
      <w:marBottom w:val="0"/>
      <w:divBdr>
        <w:top w:val="none" w:sz="0" w:space="0" w:color="auto"/>
        <w:left w:val="none" w:sz="0" w:space="0" w:color="auto"/>
        <w:bottom w:val="none" w:sz="0" w:space="0" w:color="auto"/>
        <w:right w:val="none" w:sz="0" w:space="0" w:color="auto"/>
      </w:divBdr>
    </w:div>
    <w:div w:id="169561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xajin@xmu.edu.cn"/>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baike.baidu.com/item/%E6%96%B9%E7%A8%8B"/>
  <Relationship Id="rId8" Type="http://schemas.openxmlformats.org/officeDocument/2006/relationships/hyperlink" TargetMode="External" Target="http://baike.baidu.com/item/%E7%89%9B%E9%A1%BF%E6%B5%81%E4%BD%93"/>
  <Relationship Id="rId9" Type="http://schemas.openxmlformats.org/officeDocument/2006/relationships/hyperlink" TargetMode="External" Target="http://baike.baidu.com/item/%E6%96%B9%E7%A8%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750</Words>
  <Characters>4277</Characters>
  <Application>Microsoft Office Word</Application>
  <DocSecurity>0</DocSecurity>
  <Lines>35</Lines>
  <Paragraphs>10</Paragraphs>
  <ScaleCrop>false</ScaleCrop>
  <Company>www.xunchi.com</Company>
  <LinksUpToDate>false</LinksUpToDate>
  <CharactersWithSpaces>5017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2017-05-10T00:09:00Z</dcterms:created>
  <dc:creator>dell</dc:creator>
  <lastModifiedBy>Microsoft</lastModifiedBy>
  <lastPrinted>2017-05-10T00:09:00Z</lastPrinted>
  <dcterms:modified xsi:type="dcterms:W3CDTF">2017-06-06T00:28:00Z</dcterms:modified>
  <revision>11</revision>
  <dc:title>数学拔尖学生联合暑期学校</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2052-8.1.0.3405</vt:lpwstr>
  </property>
</Properties>
</file>